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 2026</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36"/>
        </w:rPr>
      </w:pPr>
      <w:r>
        <w:rPr>
          <w:rFonts w:ascii="Times New Roman;serif" w:hAnsi="Times New Roman;serif"/>
          <w:b/>
          <w:color w:val="000000"/>
          <w:sz w:val="36"/>
        </w:rPr>
        <w:t>TPG Inc.</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(Exact name of registrant as specified in its charter) </w:t>
      </w:r>
    </w:p>
    <w:p>
      <w:pPr>
        <w:pStyle w:val="TextBody"/>
        <w:bidi w:val="0"/>
        <w:spacing w:before="180" w:after="283"/>
        <w:jc w:val="center"/>
        <w:rPr/>
      </w:pPr>
      <w:r>
        <w:rPr/>
      </w:r>
    </w:p>
    <w:p>
      <w:pPr>
        <w:pStyle w:val="TextBody"/>
        <w:bidi w:val="0"/>
        <w:spacing w:lineRule="auto" w:line="240" w:before="0" w:after="0"/>
        <w:jc w:val="left"/>
        <w:rPr>
          <w:color w:val="000000"/>
        </w:rPr>
      </w:pPr>
      <w:r>
        <w:rPr>
          <w:color w:val="000000"/>
        </w:rPr>
        <w:t> </w:t>
      </w:r>
    </w:p>
    <w:tbl>
      <w:tblPr>
        <w:tblW w:w="6389" w:type="dxa"/>
        <w:jc w:val="center"/>
        <w:tblInd w:w="0" w:type="dxa"/>
        <w:tblLayout w:type="fixed"/>
        <w:tblCellMar>
          <w:top w:w="28" w:type="dxa"/>
          <w:left w:w="28" w:type="dxa"/>
          <w:bottom w:w="28" w:type="dxa"/>
          <w:right w:w="28" w:type="dxa"/>
        </w:tblCellMar>
      </w:tblPr>
      <w:tblGrid>
        <w:gridCol w:w="487"/>
        <w:gridCol w:w="426"/>
        <w:gridCol w:w="426"/>
        <w:gridCol w:w="426"/>
        <w:gridCol w:w="426"/>
        <w:gridCol w:w="449"/>
        <w:gridCol w:w="727"/>
        <w:gridCol w:w="727"/>
        <w:gridCol w:w="735"/>
        <w:gridCol w:w="455"/>
        <w:gridCol w:w="455"/>
        <w:gridCol w:w="650"/>
      </w:tblGrid>
      <w:tr>
        <w:trPr/>
        <w:tc>
          <w:tcPr>
            <w:tcW w:w="48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4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001-41222</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87-2063362</w:t>
            </w:r>
          </w:p>
        </w:tc>
      </w:tr>
      <w:tr>
        <w:trPr/>
        <w:tc>
          <w:tcPr>
            <w:tcW w:w="264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(State or other jurisdiction</w:t>
            </w:r>
          </w:p>
          <w:p>
            <w:pPr>
              <w:pStyle w:val="TableContents"/>
              <w:bidi w:val="0"/>
              <w:spacing w:lineRule="auto" w:line="240" w:before="0" w:after="15"/>
              <w:jc w:val="center"/>
              <w:rPr>
                <w:rFonts w:ascii="Times New Roman;serif" w:hAnsi="Times New Roman;serif"/>
                <w:b/>
                <w:color w:val="000000"/>
                <w:sz w:val="18"/>
              </w:rPr>
            </w:pPr>
            <w:r>
              <w:rPr>
                <w:rFonts w:ascii="Times New Roman;serif" w:hAnsi="Times New Roman;serif"/>
                <w:b/>
                <w:color w:val="000000"/>
                <w:sz w:val="18"/>
              </w:rPr>
              <w:t>of incorporation)</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240" w:before="0" w:after="15"/>
              <w:jc w:val="center"/>
              <w:rPr>
                <w:rFonts w:ascii="Times New Roman;serif" w:hAnsi="Times New Roman;serif"/>
                <w:b/>
                <w:color w:val="000000"/>
                <w:sz w:val="18"/>
              </w:rPr>
            </w:pPr>
            <w:r>
              <w:rPr>
                <w:rFonts w:ascii="Times New Roman;serif" w:hAnsi="Times New Roman;serif"/>
                <w:b/>
                <w:color w:val="000000"/>
                <w:sz w:val="18"/>
              </w:rPr>
              <w:t>Identification No.)</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301 Commerce Street, Suite 3300</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76102</w:t>
            </w:r>
          </w:p>
        </w:tc>
      </w:tr>
      <w:tr>
        <w:trPr/>
        <w:tc>
          <w:tcPr>
            <w:tcW w:w="264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Fort Worth, TX</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(817) 871-4000</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before="180" w:after="283"/>
        <w:jc w:val="center"/>
        <w:rPr/>
      </w:pPr>
      <w:r>
        <w:rPr/>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427" w:type="dxa"/>
        <w:jc w:val="left"/>
        <w:tblInd w:w="0" w:type="dxa"/>
        <w:tblLayout w:type="fixed"/>
        <w:tblCellMar>
          <w:top w:w="28" w:type="dxa"/>
          <w:left w:w="28" w:type="dxa"/>
          <w:bottom w:w="28" w:type="dxa"/>
          <w:right w:w="28" w:type="dxa"/>
        </w:tblCellMar>
      </w:tblPr>
      <w:tblGrid>
        <w:gridCol w:w="1176"/>
        <w:gridCol w:w="1033"/>
        <w:gridCol w:w="1045"/>
        <w:gridCol w:w="109"/>
        <w:gridCol w:w="109"/>
        <w:gridCol w:w="109"/>
        <w:gridCol w:w="564"/>
        <w:gridCol w:w="564"/>
        <w:gridCol w:w="566"/>
        <w:gridCol w:w="109"/>
        <w:gridCol w:w="109"/>
        <w:gridCol w:w="109"/>
        <w:gridCol w:w="1118"/>
        <w:gridCol w:w="1118"/>
        <w:gridCol w:w="1589"/>
      </w:tblGrid>
      <w:tr>
        <w:trPr/>
        <w:tc>
          <w:tcPr>
            <w:tcW w:w="117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6.950% Subordinated Notes due 2064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TPGXL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the Security Holders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2026, TPG Inc. (the “Company”) held its 2026 annual meeting of stockholders (the “2026 Annual Meeting”). The Company’s stockholders considered four items of business, each of which is described in more detail in the Company’s Definitive Proxy Statement on Schedule 14A filed with the U.S. Securities and Exchange Commission on April 21, 2026.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8, 2026, the record date, there were (i) 153,782,054 shares of Class A common stock, par value $0.001 (the “Class A Shares”), and (ii) 223,852,327 shares of Class B common stock, par value $0.001 (the “Class B Shares”), outstanding and entitled to vote. Each Class A Share was entitled to one vote per share, and each Class B Share was entitled to ten votes per share. The matters voted on and the results of the votes cast by holders of the Class A Shares and Class B Shares, voting together, are set forth below.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Election of Directors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nominees listed below were elected to serve on the Board of Directors, in each case for a one-year term expiring at the annual meeting of stockholders to be held in 2027.</w:t>
      </w:r>
    </w:p>
    <w:tbl>
      <w:tblPr>
        <w:tblW w:w="7628" w:type="dxa"/>
        <w:jc w:val="center"/>
        <w:tblInd w:w="0" w:type="dxa"/>
        <w:tblLayout w:type="fixed"/>
        <w:tblCellMar>
          <w:top w:w="28" w:type="dxa"/>
          <w:left w:w="28" w:type="dxa"/>
          <w:bottom w:w="28" w:type="dxa"/>
          <w:right w:w="28" w:type="dxa"/>
        </w:tblCellMar>
      </w:tblPr>
      <w:tblGrid>
        <w:gridCol w:w="783"/>
        <w:gridCol w:w="685"/>
        <w:gridCol w:w="692"/>
        <w:gridCol w:w="109"/>
        <w:gridCol w:w="109"/>
        <w:gridCol w:w="109"/>
        <w:gridCol w:w="429"/>
        <w:gridCol w:w="429"/>
        <w:gridCol w:w="433"/>
        <w:gridCol w:w="109"/>
        <w:gridCol w:w="109"/>
        <w:gridCol w:w="109"/>
        <w:gridCol w:w="380"/>
        <w:gridCol w:w="380"/>
        <w:gridCol w:w="381"/>
        <w:gridCol w:w="109"/>
        <w:gridCol w:w="109"/>
        <w:gridCol w:w="109"/>
        <w:gridCol w:w="601"/>
        <w:gridCol w:w="601"/>
        <w:gridCol w:w="853"/>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Gunther Bright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2,320,618,558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21,434,544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Coulter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2,309,684,602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32,368,500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Cranston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2,309,353,912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32,699,190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Kelvin Davis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2,306,119,651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35,933,451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Kathy Elsesser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2,320,652,002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21,401,100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 McRaven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2,329,209,606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12,843,496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Deborah Messemer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2,317,659,231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24,393,871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Nehal Raj</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2,306,643,795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35,409,307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Rhodes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2,307,378,312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34,674,790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Ganendran Sarvananthan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2,306,106,937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35,946,165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Todd Sisitsky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2,309,545,530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32,507,572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Trujillo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2,306,113,680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35,939,422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Anilu Vazquez-Ubarri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2,309,843,973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32,209,129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 Winkelried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2,312,837,916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29,215,186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Election of Executive Committee Members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nominees listed below were elected to serve on the Executive Committee, in each case for a one-year term expiring at the annual meeting of stockholders to be held in 2027.</w:t>
      </w:r>
    </w:p>
    <w:tbl>
      <w:tblPr>
        <w:tblW w:w="7301" w:type="dxa"/>
        <w:jc w:val="left"/>
        <w:tblInd w:w="0" w:type="dxa"/>
        <w:tblLayout w:type="fixed"/>
        <w:tblCellMar>
          <w:top w:w="28" w:type="dxa"/>
          <w:left w:w="28" w:type="dxa"/>
          <w:bottom w:w="28" w:type="dxa"/>
          <w:right w:w="28" w:type="dxa"/>
        </w:tblCellMar>
      </w:tblPr>
      <w:tblGrid>
        <w:gridCol w:w="781"/>
        <w:gridCol w:w="686"/>
        <w:gridCol w:w="693"/>
        <w:gridCol w:w="429"/>
        <w:gridCol w:w="429"/>
        <w:gridCol w:w="433"/>
        <w:gridCol w:w="109"/>
        <w:gridCol w:w="109"/>
        <w:gridCol w:w="109"/>
        <w:gridCol w:w="380"/>
        <w:gridCol w:w="380"/>
        <w:gridCol w:w="381"/>
        <w:gridCol w:w="109"/>
        <w:gridCol w:w="109"/>
        <w:gridCol w:w="109"/>
        <w:gridCol w:w="601"/>
        <w:gridCol w:w="601"/>
        <w:gridCol w:w="853"/>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Coulter</w:t>
            </w:r>
          </w:p>
        </w:tc>
        <w:tc>
          <w:tcPr>
            <w:tcW w:w="129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2,307,725,002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34,328,100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Kelvin Davis</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2,305,197,705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36,855,397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Nehal Raj</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2,304,627,850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37,425,252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Rhodes</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2,305,354,638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36,698,464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Ganendran Sarvananthan</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2,305,196,800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36,856,302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Todd Sisitsky</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2,307,493,314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34,559,788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David Trujillo </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2,305,198,099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36,855,003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Anilu Vazquez-Ubarri</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2,307,792,698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34,260,404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 Winkelried</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2,308,388,824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33,664,278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br/>
        <w:br/>
        <w:t>Item 3. Advisory Vote to Approve Executive Compensation (Say-on-Pay)</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approved, on a non-binding advisory basis, the compensation paid to the Company’s named executive officers for the 2025 fiscal year.</w:t>
      </w:r>
    </w:p>
    <w:p>
      <w:pPr>
        <w:pStyle w:val="TextBody"/>
        <w:bidi w:val="0"/>
        <w:spacing w:before="0" w:after="0"/>
        <w:jc w:val="left"/>
        <w:rPr/>
      </w:pPr>
      <w:r>
        <w:rPr/>
      </w:r>
    </w:p>
    <w:tbl>
      <w:tblPr>
        <w:tblW w:w="6309" w:type="dxa"/>
        <w:jc w:val="left"/>
        <w:tblInd w:w="0" w:type="dxa"/>
        <w:tblLayout w:type="fixed"/>
        <w:tblCellMar>
          <w:top w:w="28" w:type="dxa"/>
          <w:left w:w="28" w:type="dxa"/>
          <w:bottom w:w="28" w:type="dxa"/>
          <w:right w:w="28" w:type="dxa"/>
        </w:tblCellMar>
      </w:tblPr>
      <w:tblGrid>
        <w:gridCol w:w="471"/>
        <w:gridCol w:w="416"/>
        <w:gridCol w:w="419"/>
        <w:gridCol w:w="109"/>
        <w:gridCol w:w="109"/>
        <w:gridCol w:w="109"/>
        <w:gridCol w:w="344"/>
        <w:gridCol w:w="344"/>
        <w:gridCol w:w="348"/>
        <w:gridCol w:w="109"/>
        <w:gridCol w:w="109"/>
        <w:gridCol w:w="109"/>
        <w:gridCol w:w="310"/>
        <w:gridCol w:w="310"/>
        <w:gridCol w:w="311"/>
        <w:gridCol w:w="109"/>
        <w:gridCol w:w="109"/>
        <w:gridCol w:w="109"/>
        <w:gridCol w:w="601"/>
        <w:gridCol w:w="601"/>
        <w:gridCol w:w="853"/>
      </w:tblGrid>
      <w:tr>
        <w:trPr/>
        <w:tc>
          <w:tcPr>
            <w:tcW w:w="47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BROKER NON-VOTES</w:t>
            </w:r>
          </w:p>
        </w:tc>
      </w:tr>
      <w:tr>
        <w:trPr/>
        <w:tc>
          <w:tcPr>
            <w:tcW w:w="13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2,278,059,396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62,254,069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1,739,637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10,274,479</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br/>
        <w:t>Item 4. Ratification of Deloitte as our Independent Registered Public Accounting Firm</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Stockholders ratified the selection of Deloitte &amp; Touche LLP as the Company’s independent registered public accounting firm for the year ended December 31, 2026.</w:t>
      </w:r>
    </w:p>
    <w:tbl>
      <w:tblPr>
        <w:tblW w:w="3882" w:type="dxa"/>
        <w:jc w:val="center"/>
        <w:tblInd w:w="0" w:type="dxa"/>
        <w:tblLayout w:type="fixed"/>
        <w:tblCellMar>
          <w:top w:w="28" w:type="dxa"/>
          <w:left w:w="28" w:type="dxa"/>
          <w:bottom w:w="28" w:type="dxa"/>
          <w:right w:w="28" w:type="dxa"/>
        </w:tblCellMar>
      </w:tblPr>
      <w:tblGrid>
        <w:gridCol w:w="471"/>
        <w:gridCol w:w="416"/>
        <w:gridCol w:w="419"/>
        <w:gridCol w:w="109"/>
        <w:gridCol w:w="109"/>
        <w:gridCol w:w="109"/>
        <w:gridCol w:w="315"/>
        <w:gridCol w:w="315"/>
        <w:gridCol w:w="316"/>
        <w:gridCol w:w="109"/>
        <w:gridCol w:w="109"/>
        <w:gridCol w:w="109"/>
        <w:gridCol w:w="285"/>
        <w:gridCol w:w="285"/>
        <w:gridCol w:w="406"/>
      </w:tblGrid>
      <w:tr>
        <w:trPr/>
        <w:tc>
          <w:tcPr>
            <w:tcW w:w="47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ABSTAIN</w:t>
            </w:r>
          </w:p>
        </w:tc>
      </w:tr>
      <w:tr>
        <w:trPr/>
        <w:tc>
          <w:tcPr>
            <w:tcW w:w="130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2,350,206,156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375,978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1,745,447</w:t>
            </w:r>
          </w:p>
        </w:tc>
      </w:tr>
    </w:tbl>
    <w:p>
      <w:pPr>
        <w:pStyle w:val="TextBody"/>
        <w:bidi w:val="0"/>
        <w:spacing w:before="0" w:after="240"/>
        <w:jc w:val="left"/>
        <w:rPr/>
      </w:pPr>
      <w:r>
        <w:rPr/>
      </w:r>
    </w:p>
    <w:p>
      <w:pPr>
        <w:pStyle w:val="TextBody"/>
        <w:bidi w:val="0"/>
        <w:spacing w:lineRule="atLeast" w:line="280" w:before="0" w:after="2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Exhibit No.     Description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thereto duly authorized.</w:t>
      </w:r>
    </w:p>
    <w:p>
      <w:pPr>
        <w:pStyle w:val="TextBody"/>
        <w:bidi w:val="0"/>
        <w:spacing w:before="0" w:after="0"/>
        <w:jc w:val="left"/>
        <w:rPr/>
      </w:pPr>
      <w:r>
        <w:rPr/>
      </w:r>
    </w:p>
    <w:tbl>
      <w:tblPr>
        <w:tblW w:w="4421" w:type="dxa"/>
        <w:jc w:val="right"/>
        <w:tblInd w:w="0" w:type="dxa"/>
        <w:tblLayout w:type="fixed"/>
        <w:tblCellMar>
          <w:top w:w="28" w:type="dxa"/>
          <w:left w:w="28" w:type="dxa"/>
          <w:bottom w:w="28" w:type="dxa"/>
          <w:right w:w="28" w:type="dxa"/>
        </w:tblCellMar>
      </w:tblPr>
      <w:tblGrid>
        <w:gridCol w:w="232"/>
        <w:gridCol w:w="205"/>
        <w:gridCol w:w="208"/>
        <w:gridCol w:w="109"/>
        <w:gridCol w:w="109"/>
        <w:gridCol w:w="109"/>
        <w:gridCol w:w="1008"/>
        <w:gridCol w:w="1008"/>
        <w:gridCol w:w="1433"/>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44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TPG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L. Chu</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 Chu</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General Counsel</w:t>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Date: Ju</w:t>
      </w:r>
      <w:r>
        <w:rPr>
          <w:rFonts w:ascii="Times New Roman;serif" w:hAnsi="Times New Roman;serif"/>
          <w:b w:val="false"/>
          <w:color w:val="000000"/>
          <w:sz w:val="20"/>
        </w:rPr>
        <w:t>ne 5, 2026</w:t>
      </w:r>
    </w:p>
    <w:p>
      <w:pPr>
        <w:pStyle w:val="TextBody"/>
        <w:bidi w:val="0"/>
        <w:spacing w:before="0" w:after="20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833</Words>
  <Characters>4893</Characters>
  <CharactersWithSpaces>5590</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