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34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Current Report</w:t>
      </w:r>
    </w:p>
    <w:p>
      <w:pPr>
        <w:ind w:left="442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8, 2026</w:t>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1120" w:type="dxa"/>
        <w:tblCellMar>
          <w:top w:w="0" w:type="dxa"/>
          <w:left w:w="0" w:type="dxa"/>
          <w:bottom w:w="0" w:type="dxa"/>
          <w:right w:w="0" w:type="dxa"/>
        </w:tblCellMar>
      </w:tblPr>
      <w:tr>
        <w:trPr>
          <w:trHeight w:val="236"/>
        </w:trPr>
        <w:tc>
          <w:tcPr>
            <w:tcW w:w="24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20" w:type="dxa"/>
            <w:vAlign w:val="bottom"/>
          </w:tcPr>
          <w:p>
            <w:pPr>
              <w:jc w:val="right"/>
              <w:ind w:right="1755"/>
              <w:spacing w:after="0"/>
              <w:rPr>
                <w:sz w:val="20"/>
                <w:szCs w:val="20"/>
                <w:color w:val="auto"/>
              </w:rPr>
            </w:pPr>
            <w:r>
              <w:rPr>
                <w:rFonts w:ascii="Times New Roman" w:cs="Times New Roman" w:eastAsia="Times New Roman" w:hAnsi="Times New Roman"/>
                <w:sz w:val="18"/>
                <w:szCs w:val="18"/>
                <w:b w:val="1"/>
                <w:bCs w:val="1"/>
                <w:color w:val="auto"/>
              </w:rPr>
              <w:t>001-41222</w:t>
            </w:r>
          </w:p>
        </w:tc>
        <w:tc>
          <w:tcPr>
            <w:tcW w:w="17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87-2063362</w:t>
            </w:r>
          </w:p>
        </w:tc>
      </w:tr>
      <w:tr>
        <w:trPr>
          <w:trHeight w:val="164"/>
        </w:trPr>
        <w:tc>
          <w:tcPr>
            <w:tcW w:w="2480" w:type="dxa"/>
            <w:vAlign w:val="bottom"/>
          </w:tcPr>
          <w:p>
            <w:pPr>
              <w:jc w:val="center"/>
              <w:ind w:right="97"/>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4320" w:type="dxa"/>
            <w:vAlign w:val="bottom"/>
          </w:tcPr>
          <w:p>
            <w:pPr>
              <w:jc w:val="center"/>
              <w:ind w:right="75"/>
              <w:spacing w:after="0" w:line="165"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1760" w:type="dxa"/>
            <w:vAlign w:val="bottom"/>
          </w:tcPr>
          <w:p>
            <w:pPr>
              <w:jc w:val="center"/>
              <w:ind w:left="395"/>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4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4320" w:type="dxa"/>
            <w:vAlign w:val="bottom"/>
          </w:tcPr>
          <w:p>
            <w:pPr>
              <w:spacing w:after="0"/>
              <w:rPr>
                <w:sz w:val="18"/>
                <w:szCs w:val="18"/>
                <w:color w:val="auto"/>
              </w:rPr>
            </w:pPr>
          </w:p>
        </w:tc>
        <w:tc>
          <w:tcPr>
            <w:tcW w:w="1760" w:type="dxa"/>
            <w:vAlign w:val="bottom"/>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60"/>
        </w:trPr>
        <w:tc>
          <w:tcPr>
            <w:tcW w:w="24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301 Commerce Street, Suite 3300</w:t>
            </w:r>
          </w:p>
        </w:tc>
        <w:tc>
          <w:tcPr>
            <w:tcW w:w="4320" w:type="dxa"/>
            <w:vAlign w:val="bottom"/>
          </w:tcPr>
          <w:p>
            <w:pPr>
              <w:spacing w:after="0"/>
              <w:rPr>
                <w:sz w:val="24"/>
                <w:szCs w:val="24"/>
                <w:color w:val="auto"/>
              </w:rPr>
            </w:pPr>
          </w:p>
        </w:tc>
        <w:tc>
          <w:tcPr>
            <w:tcW w:w="176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12"/>
        </w:trPr>
        <w:tc>
          <w:tcPr>
            <w:tcW w:w="24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Fort Worth, TX</w:t>
            </w:r>
          </w:p>
        </w:tc>
        <w:tc>
          <w:tcPr>
            <w:tcW w:w="4320" w:type="dxa"/>
            <w:vAlign w:val="bottom"/>
          </w:tcPr>
          <w:p>
            <w:pPr>
              <w:spacing w:after="0"/>
              <w:rPr>
                <w:sz w:val="18"/>
                <w:szCs w:val="18"/>
                <w:color w:val="auto"/>
              </w:rPr>
            </w:pPr>
          </w:p>
        </w:tc>
        <w:tc>
          <w:tcPr>
            <w:tcW w:w="1760" w:type="dxa"/>
            <w:vAlign w:val="bottom"/>
          </w:tcPr>
          <w:p>
            <w:pPr>
              <w:jc w:val="center"/>
              <w:ind w:left="395"/>
              <w:spacing w:after="0"/>
              <w:rPr>
                <w:sz w:val="20"/>
                <w:szCs w:val="20"/>
                <w:color w:val="auto"/>
              </w:rPr>
            </w:pPr>
            <w:r>
              <w:rPr>
                <w:rFonts w:ascii="Times New Roman" w:cs="Times New Roman" w:eastAsia="Times New Roman" w:hAnsi="Times New Roman"/>
                <w:sz w:val="16"/>
                <w:szCs w:val="16"/>
                <w:color w:val="auto"/>
              </w:rPr>
              <w:t>(Zip Code)</w:t>
            </w:r>
          </w:p>
        </w:tc>
      </w:tr>
      <w:tr>
        <w:trPr>
          <w:trHeight w:val="249"/>
        </w:trPr>
        <w:tc>
          <w:tcPr>
            <w:tcW w:w="2480" w:type="dxa"/>
            <w:vAlign w:val="bottom"/>
          </w:tcPr>
          <w:p>
            <w:pPr>
              <w:spacing w:after="0"/>
              <w:rPr>
                <w:sz w:val="21"/>
                <w:szCs w:val="21"/>
                <w:color w:val="auto"/>
              </w:rPr>
            </w:pPr>
          </w:p>
        </w:tc>
        <w:tc>
          <w:tcPr>
            <w:tcW w:w="4320" w:type="dxa"/>
            <w:vAlign w:val="bottom"/>
          </w:tcPr>
          <w:p>
            <w:pPr>
              <w:jc w:val="right"/>
              <w:ind w:right="1655"/>
              <w:spacing w:after="0"/>
              <w:rPr>
                <w:sz w:val="20"/>
                <w:szCs w:val="20"/>
                <w:color w:val="auto"/>
              </w:rPr>
            </w:pPr>
            <w:r>
              <w:rPr>
                <w:rFonts w:ascii="Times New Roman" w:cs="Times New Roman" w:eastAsia="Times New Roman" w:hAnsi="Times New Roman"/>
                <w:sz w:val="18"/>
                <w:szCs w:val="18"/>
                <w:b w:val="1"/>
                <w:bCs w:val="1"/>
                <w:color w:val="auto"/>
              </w:rPr>
              <w:t>(817) 871-4000</w:t>
            </w:r>
          </w:p>
        </w:tc>
        <w:tc>
          <w:tcPr>
            <w:tcW w:w="1760" w:type="dxa"/>
            <w:vAlign w:val="bottom"/>
          </w:tcPr>
          <w:p>
            <w:pPr>
              <w:spacing w:after="0"/>
              <w:rPr>
                <w:sz w:val="21"/>
                <w:szCs w:val="21"/>
                <w:color w:val="auto"/>
              </w:rPr>
            </w:pPr>
          </w:p>
        </w:tc>
      </w:tr>
      <w:tr>
        <w:trPr>
          <w:trHeight w:val="212"/>
        </w:trPr>
        <w:tc>
          <w:tcPr>
            <w:tcW w:w="2480" w:type="dxa"/>
            <w:vAlign w:val="bottom"/>
          </w:tcPr>
          <w:p>
            <w:pPr>
              <w:spacing w:after="0"/>
              <w:rPr>
                <w:sz w:val="18"/>
                <w:szCs w:val="18"/>
                <w:color w:val="auto"/>
              </w:rPr>
            </w:pPr>
          </w:p>
        </w:tc>
        <w:tc>
          <w:tcPr>
            <w:tcW w:w="43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760" w:type="dxa"/>
            <w:vAlign w:val="bottom"/>
          </w:tcPr>
          <w:p>
            <w:pPr>
              <w:spacing w:after="0"/>
              <w:rPr>
                <w:sz w:val="18"/>
                <w:szCs w:val="18"/>
                <w:color w:val="auto"/>
              </w:rPr>
            </w:pP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0" w:lineRule="exact"/>
        <w:rPr>
          <w:sz w:val="24"/>
          <w:szCs w:val="24"/>
          <w:color w:val="auto"/>
        </w:rPr>
      </w:pPr>
    </w:p>
    <w:p>
      <w:pPr>
        <w:spacing w:after="0" w:line="269"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4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160" w:type="dxa"/>
            <w:vAlign w:val="bottom"/>
          </w:tcPr>
          <w:p>
            <w:pPr>
              <w:spacing w:after="0"/>
              <w:rPr>
                <w:sz w:val="14"/>
                <w:szCs w:val="14"/>
                <w:color w:val="auto"/>
              </w:rPr>
            </w:pPr>
          </w:p>
        </w:tc>
        <w:tc>
          <w:tcPr>
            <w:tcW w:w="2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TPG</w:t>
            </w:r>
          </w:p>
        </w:tc>
        <w:tc>
          <w:tcPr>
            <w:tcW w:w="160" w:type="dxa"/>
            <w:vAlign w:val="bottom"/>
          </w:tcPr>
          <w:p>
            <w:pPr>
              <w:spacing w:after="0"/>
              <w:rPr>
                <w:sz w:val="14"/>
                <w:szCs w:val="14"/>
                <w:color w:val="auto"/>
              </w:rPr>
            </w:pPr>
          </w:p>
        </w:tc>
        <w:tc>
          <w:tcPr>
            <w:tcW w:w="4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TPGXL</w:t>
            </w:r>
          </w:p>
        </w:tc>
        <w:tc>
          <w:tcPr>
            <w:tcW w:w="4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6.950% Subordinated Notes due 2064</w:t>
            </w:r>
          </w:p>
        </w:tc>
        <w:tc>
          <w:tcPr>
            <w:tcW w:w="3060" w:type="dxa"/>
            <w:vAlign w:val="bottom"/>
            <w:gridSpan w:val="2"/>
            <w:vMerge w:val="continue"/>
          </w:tcPr>
          <w:p>
            <w:pPr>
              <w:spacing w:after="0"/>
              <w:rPr>
                <w:sz w:val="21"/>
                <w:szCs w:val="21"/>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part of TPG Inc.’s (the “Company”) previously disclosed long-term corporate governance transition to oversight by a majority independent board, on April 8, 2026, the board of directors of the Company (the “Board”) increased the size of the Board from thirteen to fourteen members and appointed Admiral William H. McRaven as an independent director to fill the resulting vacancy, effective May 1, 2026. Mr. McRaven will serve as a member of the Compensation Committee and Conflicts Committee.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Board has determined that Mr. McRaven satisfies all applicable requirements to serve on the Compensation Committee and Conflicts Committee, including, without limitation, the applicable independence requirements of the Nasdaq Stock Market LLC and the Securities Exchange Act of 1934, as amended.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no arrangements or understandings between Mr. McRaven and any other person pursuant to which he was appointed as a director of the Company. There are no current or proposed transactions between Mr. McRaven or any of his related persons and the Company for which disclosure is required under Item 404(a) of Regulation S-K.</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Mr. McRaven will receive the standard compensation available to other independent directors of the Company in accordance with the Company’s Independent Director Compensation Policy filed as Exhibit 10.31 to the Company’s Annual Report on Form 10-K filed with the U.S. Securities and Exchange Commission on February 17, 2026. Mr. McRaven also entered into the Company’s standard indemnification agreement for independent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copy of the Company’s press release announcing the appointment of Mr. McRaven as a director of the Company is furnished as exhibit 99.1 to this Current Report on Form 8-K.</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provided in General Instruction B.2 of Form 8-K, the information in this Item 7.01, including Exhibit 99.1, shall not be deemed to be “filed” for purposes of Section 18 of the Exchange Act, or otherwise subject to the liabilities of that section, nor shall such information or Exhibit 99.1 be deemed to be incorporated by reference in any filing under the Securities Act or the Exchange Act, regardless of any general incorporation language in such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480" w:type="dxa"/>
            <w:vAlign w:val="bottom"/>
          </w:tcPr>
          <w:p>
            <w:pPr>
              <w:spacing w:after="0"/>
              <w:rPr>
                <w:sz w:val="20"/>
                <w:szCs w:val="20"/>
                <w:color w:val="auto"/>
              </w:rPr>
            </w:pPr>
          </w:p>
        </w:tc>
      </w:tr>
      <w:tr>
        <w:trPr>
          <w:trHeight w:val="472"/>
        </w:trPr>
        <w:tc>
          <w:tcPr>
            <w:tcW w:w="8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460" w:type="dxa"/>
            <w:vAlign w:val="bottom"/>
            <w:tcBorders>
              <w:top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00" w:type="dxa"/>
            <w:vAlign w:val="bottom"/>
          </w:tcPr>
          <w:p>
            <w:pPr>
              <w:spacing w:after="0"/>
              <w:rPr>
                <w:sz w:val="15"/>
                <w:szCs w:val="15"/>
                <w:color w:val="auto"/>
              </w:rPr>
            </w:pPr>
          </w:p>
        </w:tc>
        <w:tc>
          <w:tcPr>
            <w:tcW w:w="94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of TPG Inc., dated April 9, 2026</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50"/>
        </w:trPr>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70"/>
        </w:trPr>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2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200" w:lineRule="exact"/>
        <w:rPr>
          <w:sz w:val="20"/>
          <w:szCs w:val="20"/>
          <w:color w:val="auto"/>
        </w:rPr>
      </w:pPr>
    </w:p>
    <w:p>
      <w:pPr>
        <w:spacing w:after="0" w:line="259"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1276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Jennifer L. Chu</w:t>
      </w:r>
    </w:p>
    <w:p>
      <w:pPr>
        <w:spacing w:after="0" w:line="20"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Legal Officer and</w:t>
      </w:r>
    </w:p>
    <w:p>
      <w:pPr>
        <w:ind w:left="57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2026</w:t>
      </w:r>
    </w:p>
    <w:p>
      <w:pPr>
        <w:sectPr>
          <w:pgSz w:w="11900" w:h="16838" w:orient="portrait"/>
          <w:cols w:equalWidth="0" w:num="1">
            <w:col w:w="11220"/>
          </w:cols>
          <w:pgMar w:left="320" w:top="752"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Appoints Admiral William H. McRaven as Independent Director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&amp; FORT WORTH, TX – April 9, 2026 – </w:t>
      </w:r>
      <w:r>
        <w:rPr>
          <w:rFonts w:ascii="Times New Roman" w:cs="Times New Roman" w:eastAsia="Times New Roman" w:hAnsi="Times New Roman"/>
          <w:sz w:val="18"/>
          <w:szCs w:val="18"/>
          <w:color w:val="auto"/>
        </w:rPr>
        <w:t>TPG Inc. (NASDAQ: TPG), a leading global alternative asset management firm,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appointment of Admiral William H. McRaven to its Board of Directors (the “Board”) as an independent director, effective May 1, 2026.</w:t>
      </w:r>
    </w:p>
    <w:p>
      <w:pPr>
        <w:spacing w:after="0" w:line="15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“On behalf of the Board and leadership team, we are pleased to welcome a leader of Bill’s caliber to the TPG Board,” said Jim Coulter, Founding Partner and Executive Chairman of TPG. “Bill brings distinct experience, a deep understanding of global and business affairs, and a differentiated skillset that will be valuable as we further our growth ambitions and advance toward a majority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independent governance structure.”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“Bill is a proven leader whose career has been shaped by decades of experience leading through complexity and advising in consequential moments,” said Jon Winkelried, Chief Executive Officer of TPG. “His trusted judgment, global perspective, and strategic insight will be an asset as TPG continues to scale. We look forward to working alongside him as we execute on the firm’s strategic priorities and accelerate momentum across TPG.”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McRaven brings more than four decades of experience across the public and private sectors and is a widely recognized leader in foreign policy and geopolitical affairs. He currently serves as a Senior Advisor at Lazard, Inc. and as a Professor of National Security at the Lyndon B. Johnson School of Public Affairs at the University of Texas at Austin. McRaven is a retired U.S. Navy Four-Star Admiral, and during his time in the military, commanded special operations forces at every level, eventually leading all U.S. Special Operations. McRaven is an authority on U.S. foreign policy and has advised Presidents George W. Bush, Barack Obama, and other senior U.S. leaders on international relations and security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“TPG is experiencing a period of transformative growth as it diversifies its franchise and expands into new, high-conviction markets,” said McRaven. “Driving this growth is the firm’s entrepreneurial culture, thematic approach, and strong reputation for disciplined execution and investing excellence. These qualities position the firm for continued success, and I am thrilled to partner with the Board and leadership team to execute on the significant potential ahead.”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McRaven currently serves on the board of directors of ConocoPhillips and the advisory board of Haveli Investments. He also serves on several private and non-profit boards, including the Council on Foreign Relations, the National Football Foundation, the International Crisis Group, and The Mission Continues. He was formerly the Chancellor of the University of Texas System and previously served on the advisory board of Palantir Technologies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TPG is a leading global alternative asset management firm, founded in San Francisco in 1992, with $303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Stein &amp; Evanny Huang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shareholders@tpg.com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Barrett &amp; Ethan Cherry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media@tpg.com</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2026-04-09T15:38:40Z</dcterms:created>
  <dcterms:modified xsi:type="dcterms:W3CDTF">2026-04-09T15:38:40Z</dcterms:modified>
</cp:coreProperties>
</file>