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Trujillo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TPG Inc.</w:t>
              </w:r>
            </w:hyperlink>
            <w:r>
              <w:rPr/>
              <w:t xml:space="preserve"> [ </w:t>
            </w:r>
            <w:r>
              <w:rPr>
                <w:rFonts w:ascii="Times;serif" w:hAnsi="Times;serif"/>
                <w:color w:val="0000FF"/>
                <w:sz w:val="24"/>
                <w:shd w:fill="FFFFFF" w:val="clear"/>
              </w:rPr>
              <w:t>TPG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498"/>
        <w:gridCol w:w="303"/>
        <w:gridCol w:w="906"/>
        <w:gridCol w:w="801"/>
        <w:gridCol w:w="891"/>
        <w:gridCol w:w="636"/>
        <w:gridCol w:w="801"/>
        <w:gridCol w:w="96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TPG Partner Holdings, L.P.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630</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Class A Common Stock</w:t>
            </w:r>
            <w:r>
              <w:rPr>
                <w:rFonts w:ascii="Times;serif" w:hAnsi="Times;serif"/>
                <w:color w:val="008000"/>
                <w:position w:val="7"/>
                <w:sz w:val="16"/>
                <w:sz w:val="20"/>
                <w:shd w:fill="FFFFFF" w:val="clear"/>
              </w:rPr>
              <w:t>(2)</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6,582,823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5, 2026, 630 additional units ("TPH Units") of TPG Partner Holdings, L.P. ("Partner Holdings") were allocated automatically to the Reporting Person in accordance with Partner Holdings' limited partnership agreement upon their forfeiture by a former partner of Partner Holdings.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Amended and Restated Exchange Agreement filed by TPG Inc. (the "Issuer") with the Securities and Exchange Commission (the "Commission") on November 2, 2023, TPH Units are ultimately exchangeable for cash or, at the Issuer's election, shares of Class A common stock of the Issuer on a one-for-one basis, subject to customary conversion rate adjustments and transfer restrictions (the "exchange consideration"). Upon an exchange of TPH Units, an equal number of Common Units of TPG Operating Group II, L.P. held by TPG Group Holdings (SBS), L.P. ("Group Holdings"), of which Partner Holdings is an indirect limited partner, are exchanged on a one-for-one basis for the exchange consideration, and an equal number of shares of Class B common stock of the Issuer also held by Group Holdings will be automatically cancelled for no additional consideration. Each share of Class B common stock entitles the holder to ten votes per share but carries no economic rights.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Jennifer Chu is signing on behalf of Mr. Trujillo pursuant to the power of attorney dated August 16, 2025, which was previously filed with the Commission.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 Chu, as attorney-in-fact(3)</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2929" TargetMode="External"/><Relationship Id="rId5" Type="http://schemas.openxmlformats.org/officeDocument/2006/relationships/hyperlink" Target="http://www.sec.gov/cgi-bin/browse-edgar?action=getcompany&amp;CIK=00018806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799</Words>
  <Characters>4313</Characters>
  <CharactersWithSpaces>5039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