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58" w:lineRule="exact"/>
        <w:rPr>
          <w:sz w:val="24"/>
          <w:szCs w:val="24"/>
          <w:color w:val="auto"/>
        </w:rPr>
      </w:pPr>
    </w:p>
    <w:p>
      <w:pPr>
        <w:ind w:left="3660" w:right="1680" w:hanging="3634"/>
        <w:spacing w:after="0" w:line="302" w:lineRule="auto"/>
        <w:tabs>
          <w:tab w:leader="none" w:pos="422"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2026</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360" w:right="1660" w:hanging="4334"/>
        <w:spacing w:after="0" w:line="302" w:lineRule="auto"/>
        <w:tabs>
          <w:tab w:leader="none" w:pos="414"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001-41222</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TPG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16" w:lineRule="exact"/>
        <w:rPr>
          <w:sz w:val="24"/>
          <w:szCs w:val="24"/>
          <w:color w:val="auto"/>
        </w:rPr>
      </w:pPr>
    </w:p>
    <w:tbl>
      <w:tblPr>
        <w:tblLayout w:type="fixed"/>
        <w:tblInd w:w="1220" w:type="dxa"/>
        <w:tblCellMar>
          <w:top w:w="0" w:type="dxa"/>
          <w:left w:w="0" w:type="dxa"/>
          <w:bottom w:w="0" w:type="dxa"/>
          <w:right w:w="0" w:type="dxa"/>
        </w:tblCellMar>
      </w:tblPr>
      <w:tr>
        <w:trPr>
          <w:trHeight w:val="212"/>
        </w:trPr>
        <w:tc>
          <w:tcPr>
            <w:tcW w:w="5020" w:type="dxa"/>
            <w:vAlign w:val="bottom"/>
          </w:tcPr>
          <w:p>
            <w:pPr>
              <w:jc w:val="center"/>
              <w:ind w:right="10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54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87-2063362</w:t>
            </w:r>
          </w:p>
        </w:tc>
      </w:tr>
      <w:tr>
        <w:trPr>
          <w:trHeight w:val="216"/>
        </w:trPr>
        <w:tc>
          <w:tcPr>
            <w:tcW w:w="5020" w:type="dxa"/>
            <w:vAlign w:val="bottom"/>
          </w:tcPr>
          <w:p>
            <w:pPr>
              <w:jc w:val="center"/>
              <w:ind w:right="107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540" w:type="dxa"/>
            <w:vAlign w:val="bottom"/>
          </w:tcPr>
          <w:p>
            <w:pPr>
              <w:jc w:val="center"/>
              <w:ind w:left="109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6"/>
        </w:trPr>
        <w:tc>
          <w:tcPr>
            <w:tcW w:w="502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301 Commerce Street, Suite 3300</w:t>
            </w:r>
          </w:p>
        </w:tc>
        <w:tc>
          <w:tcPr>
            <w:tcW w:w="3540" w:type="dxa"/>
            <w:vAlign w:val="bottom"/>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76102</w:t>
            </w:r>
          </w:p>
        </w:tc>
      </w:tr>
      <w:tr>
        <w:trPr>
          <w:trHeight w:val="216"/>
        </w:trPr>
        <w:tc>
          <w:tcPr>
            <w:tcW w:w="5020" w:type="dxa"/>
            <w:vAlign w:val="bottom"/>
          </w:tcPr>
          <w:p>
            <w:pPr>
              <w:ind w:left="1180"/>
              <w:spacing w:after="0"/>
              <w:rPr>
                <w:sz w:val="20"/>
                <w:szCs w:val="20"/>
                <w:color w:val="auto"/>
              </w:rPr>
            </w:pPr>
            <w:r>
              <w:rPr>
                <w:rFonts w:ascii="Times New Roman" w:cs="Times New Roman" w:eastAsia="Times New Roman" w:hAnsi="Times New Roman"/>
                <w:sz w:val="16"/>
                <w:szCs w:val="16"/>
                <w:b w:val="1"/>
                <w:bCs w:val="1"/>
                <w:color w:val="auto"/>
              </w:rPr>
              <w:t>Fort Worth, TX</w:t>
            </w:r>
          </w:p>
        </w:tc>
        <w:tc>
          <w:tcPr>
            <w:tcW w:w="3540" w:type="dxa"/>
            <w:vAlign w:val="bottom"/>
          </w:tcPr>
          <w:p>
            <w:pPr>
              <w:jc w:val="center"/>
              <w:ind w:left="109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1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(817) 871-4000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28"/>
        </w:trPr>
        <w:tc>
          <w:tcPr>
            <w:tcW w:w="4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57"/>
        </w:trPr>
        <w:tc>
          <w:tcPr>
            <w:tcW w:w="45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Class A common stock</w:t>
            </w: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TPG</w:t>
            </w:r>
          </w:p>
        </w:tc>
        <w:tc>
          <w:tcPr>
            <w:tcW w:w="458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13"/>
        </w:trPr>
        <w:tc>
          <w:tcPr>
            <w:tcW w:w="458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2080" w:type="dxa"/>
            <w:vAlign w:val="bottom"/>
            <w:tcBorders>
              <w:bottom w:val="single" w:sz="8" w:color="auto"/>
              <w:right w:val="single" w:sz="8" w:color="auto"/>
            </w:tcBorders>
            <w:vMerge w:val="continue"/>
          </w:tcPr>
          <w:p>
            <w:pPr>
              <w:spacing w:after="0"/>
              <w:rPr>
                <w:sz w:val="18"/>
                <w:szCs w:val="18"/>
                <w:color w:val="auto"/>
              </w:rPr>
            </w:pP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r>
        <w:trPr>
          <w:trHeight w:val="158"/>
        </w:trPr>
        <w:tc>
          <w:tcPr>
            <w:tcW w:w="45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6.950% Subordinated Notes due 2064</w:t>
            </w:r>
          </w:p>
        </w:tc>
        <w:tc>
          <w:tcPr>
            <w:tcW w:w="2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TPGXL</w:t>
            </w:r>
          </w:p>
        </w:tc>
        <w:tc>
          <w:tcPr>
            <w:tcW w:w="458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13"/>
        </w:trPr>
        <w:tc>
          <w:tcPr>
            <w:tcW w:w="458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2080" w:type="dxa"/>
            <w:vAlign w:val="bottom"/>
            <w:tcBorders>
              <w:bottom w:val="single" w:sz="8" w:color="auto"/>
              <w:right w:val="single" w:sz="8" w:color="auto"/>
            </w:tcBorders>
            <w:vMerge w:val="continue"/>
          </w:tcPr>
          <w:p>
            <w:pPr>
              <w:spacing w:after="0"/>
              <w:rPr>
                <w:sz w:val="18"/>
                <w:szCs w:val="18"/>
                <w:color w:val="auto"/>
              </w:rPr>
            </w:pP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Market)</w:t>
            </w:r>
          </w:p>
        </w:tc>
        <w:tc>
          <w:tcPr>
            <w:tcW w:w="0" w:type="dxa"/>
            <w:vAlign w:val="bottom"/>
          </w:tcPr>
          <w:p>
            <w:pPr>
              <w:spacing w:after="0"/>
              <w:rPr>
                <w:sz w:val="1"/>
                <w:szCs w:val="1"/>
                <w:color w:val="auto"/>
              </w:rPr>
            </w:pPr>
          </w:p>
        </w:tc>
      </w:tr>
    </w:tbl>
    <w:p>
      <w:pPr>
        <w:spacing w:after="0" w:line="162"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7"/>
          <w:szCs w:val="17"/>
          <w:b w:val="1"/>
          <w:bCs w:val="1"/>
          <w:color w:val="auto"/>
        </w:rPr>
        <w:t>o</w:t>
      </w:r>
    </w:p>
    <w:p>
      <w:pPr>
        <w:spacing w:after="0" w:line="67"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7"/>
          <w:szCs w:val="17"/>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7"/>
          <w:szCs w:val="17"/>
          <w:b w:val="1"/>
          <w:bCs w:val="1"/>
          <w:color w:val="auto"/>
        </w:rPr>
        <w:t>o</w:t>
      </w:r>
    </w:p>
    <w:p>
      <w:pPr>
        <w:spacing w:after="0" w:line="57"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5"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280" w:type="dxa"/>
            <w:vAlign w:val="bottom"/>
          </w:tcPr>
          <w:p>
            <w:pPr>
              <w:ind w:left="640"/>
              <w:spacing w:after="0"/>
              <w:rPr>
                <w:sz w:val="20"/>
                <w:szCs w:val="20"/>
                <w:color w:val="auto"/>
              </w:rPr>
            </w:pPr>
            <w:r>
              <w:rPr>
                <w:rFonts w:ascii="Wingdings" w:cs="Wingdings" w:eastAsia="Wingdings" w:hAnsi="Wingdings"/>
                <w:sz w:val="18"/>
                <w:szCs w:val="18"/>
                <w:b w:val="1"/>
                <w:bCs w:val="1"/>
                <w:color w:val="auto"/>
              </w:rPr>
              <w:t>x</w:t>
            </w:r>
          </w:p>
        </w:tc>
        <w:tc>
          <w:tcPr>
            <w:tcW w:w="36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28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36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68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34"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7"/>
          <w:szCs w:val="17"/>
          <w:b w:val="1"/>
          <w:bCs w:val="1"/>
          <w:color w:val="auto"/>
        </w:rPr>
        <w:t>x</w:t>
      </w:r>
    </w:p>
    <w:p>
      <w:pPr>
        <w:spacing w:after="0" w:line="102" w:lineRule="exact"/>
        <w:rPr>
          <w:sz w:val="24"/>
          <w:szCs w:val="24"/>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As of October 30, 2026, there were 167,443,419 shares of the registrant’s Class A common stock, 6,605,963 shares of the registrant’s nonvoting Class A common stock and 210,848,910 shares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60" w:type="dxa"/>
            <w:vAlign w:val="bottom"/>
            <w:gridSpan w:val="8"/>
          </w:tcPr>
          <w:p>
            <w:pPr>
              <w:ind w:left="1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226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8060" w:type="dxa"/>
            <w:vAlign w:val="bottom"/>
            <w:gridSpan w:val="11"/>
            <w:vMerge w:val="restart"/>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4"/>
        </w:trPr>
        <w:tc>
          <w:tcPr>
            <w:tcW w:w="2260" w:type="dxa"/>
            <w:vAlign w:val="bottom"/>
            <w:tcBorders>
              <w:bottom w:val="single" w:sz="8" w:color="0000FF"/>
            </w:tcBorders>
            <w:gridSpan w:val="11"/>
            <w:vMerge w:val="continue"/>
          </w:tcPr>
          <w:p>
            <w:pPr>
              <w:spacing w:after="0"/>
              <w:rPr>
                <w:sz w:val="24"/>
                <w:szCs w:val="24"/>
                <w:color w:val="auto"/>
              </w:rPr>
            </w:pPr>
          </w:p>
        </w:tc>
        <w:tc>
          <w:tcPr>
            <w:tcW w:w="8060" w:type="dxa"/>
            <w:vAlign w:val="bottom"/>
            <w:gridSpan w:val="11"/>
            <w:vMerge w:val="continue"/>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240" w:type="dxa"/>
            <w:vAlign w:val="bottom"/>
            <w:gridSpan w:val="2"/>
          </w:tcPr>
          <w:p>
            <w:pPr>
              <w:spacing w:after="0"/>
              <w:rPr>
                <w:sz w:val="20"/>
                <w:szCs w:val="20"/>
                <w:color w:val="auto"/>
              </w:rPr>
            </w:pPr>
          </w:p>
        </w:tc>
        <w:tc>
          <w:tcPr>
            <w:tcW w:w="9560" w:type="dxa"/>
            <w:vAlign w:val="bottom"/>
            <w:gridSpan w:val="19"/>
          </w:tcPr>
          <w:p>
            <w:pPr>
              <w:ind w:left="180"/>
              <w:spacing w:after="0"/>
              <w:rPr>
                <w:sz w:val="20"/>
                <w:szCs w:val="20"/>
                <w:color w:val="auto"/>
              </w:rPr>
            </w:pPr>
            <w:r>
              <w:rPr>
                <w:rFonts w:ascii="Times New Roman" w:cs="Times New Roman" w:eastAsia="Times New Roman" w:hAnsi="Times New Roman"/>
                <w:sz w:val="18"/>
                <w:szCs w:val="18"/>
                <w:color w:val="0000FF"/>
              </w:rPr>
              <w:t>Financial Statements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60" w:type="dxa"/>
            <w:vAlign w:val="bottom"/>
            <w:gridSpan w:val="19"/>
          </w:tcPr>
          <w:p>
            <w:pPr>
              <w:ind w:left="180"/>
              <w:spacing w:after="0"/>
              <w:rPr>
                <w:sz w:val="20"/>
                <w:szCs w:val="20"/>
                <w:color w:val="auto"/>
              </w:rPr>
            </w:pPr>
            <w:r>
              <w:rPr>
                <w:rFonts w:ascii="Times New Roman" w:cs="Times New Roman" w:eastAsia="Times New Roman" w:hAnsi="Times New Roman"/>
                <w:sz w:val="18"/>
                <w:szCs w:val="18"/>
                <w:color w:val="auto"/>
              </w:rPr>
              <w:t>Unaudited Condensed Consolidated Financial Statements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Financial Condition as of September 30, 2026 and December 31, 2025</w:t>
            </w:r>
          </w:p>
        </w:tc>
        <w:tc>
          <w:tcPr>
            <w:tcW w:w="5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rPr>
              <w:t>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Nine Months Ended September 30, 2026 and 2025</w:t>
            </w:r>
          </w:p>
        </w:tc>
        <w:tc>
          <w:tcPr>
            <w:tcW w:w="660" w:type="dxa"/>
            <w:vAlign w:val="bottom"/>
            <w:gridSpan w:val="3"/>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Nine Months Ended September 30, 2026 and</w:t>
            </w:r>
          </w:p>
        </w:tc>
        <w:tc>
          <w:tcPr>
            <w:tcW w:w="400" w:type="dxa"/>
            <w:vAlign w:val="bottom"/>
            <w:vMerge w:val="restart"/>
          </w:tcPr>
          <w:p>
            <w:pPr>
              <w:spacing w:after="0"/>
              <w:rPr>
                <w:sz w:val="20"/>
                <w:szCs w:val="20"/>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360" w:type="dxa"/>
            <w:vAlign w:val="bottom"/>
            <w:tcBorders>
              <w:top w:val="single" w:sz="8" w:color="0000FF"/>
              <w:bottom w:val="single" w:sz="8" w:color="0000FF"/>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0000FF"/>
                <w:w w:val="94"/>
              </w:rPr>
              <w:t>2025</w:t>
            </w:r>
          </w:p>
        </w:tc>
        <w:tc>
          <w:tcPr>
            <w:tcW w:w="6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176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2120" w:type="dxa"/>
            <w:vAlign w:val="bottom"/>
            <w:tcBorders>
              <w:top w:val="single" w:sz="8" w:color="0000FF"/>
            </w:tcBorders>
          </w:tcPr>
          <w:p>
            <w:pPr>
              <w:spacing w:after="0"/>
              <w:rPr>
                <w:sz w:val="15"/>
                <w:szCs w:val="15"/>
                <w:color w:val="auto"/>
              </w:rPr>
            </w:pPr>
          </w:p>
        </w:tc>
        <w:tc>
          <w:tcPr>
            <w:tcW w:w="154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100" w:type="dxa"/>
            <w:vAlign w:val="bottom"/>
            <w:tcBorders>
              <w:bottom w:val="single" w:sz="8" w:color="0000FF"/>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1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Equity for the Three and Nine Months Ended September 30, 2026 and 2025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2026 and 2025</w:t>
            </w:r>
          </w:p>
        </w:tc>
        <w:tc>
          <w:tcPr>
            <w:tcW w:w="5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0000FF"/>
                <w:w w:val="99"/>
              </w:rPr>
              <w:t>13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Notes to Condensed Consolidated Financial Statements</w:t>
            </w:r>
          </w:p>
        </w:tc>
        <w:tc>
          <w:tcPr>
            <w:tcW w:w="3920" w:type="dxa"/>
            <w:vAlign w:val="bottom"/>
            <w:gridSpan w:val="3"/>
          </w:tcPr>
          <w:p>
            <w:pPr>
              <w:spacing w:after="0"/>
              <w:rPr>
                <w:sz w:val="20"/>
                <w:szCs w:val="20"/>
                <w:color w:val="auto"/>
              </w:rPr>
            </w:pPr>
          </w:p>
        </w:tc>
        <w:tc>
          <w:tcPr>
            <w:tcW w:w="1380" w:type="dxa"/>
            <w:vAlign w:val="bottom"/>
            <w:gridSpan w:val="4"/>
          </w:tcPr>
          <w:p>
            <w:pPr>
              <w:spacing w:after="0"/>
              <w:rPr>
                <w:sz w:val="20"/>
                <w:szCs w:val="20"/>
                <w:color w:val="auto"/>
              </w:rPr>
            </w:pPr>
          </w:p>
        </w:tc>
        <w:tc>
          <w:tcPr>
            <w:tcW w:w="5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0000FF"/>
                <w:w w:val="99"/>
              </w:rPr>
              <w:t>14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0000FF"/>
            </w:tcBorders>
            <w:gridSpan w:val="2"/>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120" w:type="dxa"/>
            <w:vAlign w:val="bottom"/>
          </w:tcPr>
          <w:p>
            <w:pPr>
              <w:spacing w:after="0"/>
              <w:rPr>
                <w:sz w:val="20"/>
                <w:szCs w:val="20"/>
                <w:color w:val="auto"/>
              </w:rPr>
            </w:pPr>
          </w:p>
        </w:tc>
        <w:tc>
          <w:tcPr>
            <w:tcW w:w="9560" w:type="dxa"/>
            <w:vAlign w:val="bottom"/>
            <w:gridSpan w:val="19"/>
          </w:tcPr>
          <w:p>
            <w:pPr>
              <w:ind w:left="18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0000FF"/>
                <w:w w:val="99"/>
              </w:rPr>
              <w:t>52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60" w:type="dxa"/>
            <w:vAlign w:val="bottom"/>
            <w:gridSpan w:val="19"/>
          </w:tcPr>
          <w:p>
            <w:pPr>
              <w:ind w:left="18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109</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040" w:type="dxa"/>
            <w:vAlign w:val="bottom"/>
            <w:tcBorders>
              <w:left w:val="single" w:sz="8" w:color="0000FF"/>
            </w:tcBorders>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4.</w:t>
            </w:r>
          </w:p>
        </w:tc>
        <w:tc>
          <w:tcPr>
            <w:tcW w:w="240" w:type="dxa"/>
            <w:vAlign w:val="bottom"/>
            <w:gridSpan w:val="2"/>
          </w:tcPr>
          <w:p>
            <w:pPr>
              <w:spacing w:after="0"/>
              <w:rPr>
                <w:sz w:val="20"/>
                <w:szCs w:val="20"/>
                <w:color w:val="auto"/>
              </w:rPr>
            </w:pPr>
          </w:p>
        </w:tc>
        <w:tc>
          <w:tcPr>
            <w:tcW w:w="9560" w:type="dxa"/>
            <w:vAlign w:val="bottom"/>
            <w:gridSpan w:val="19"/>
          </w:tcPr>
          <w:p>
            <w:pPr>
              <w:ind w:left="18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109</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032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gridSpan w:val="4"/>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240" w:type="dxa"/>
            <w:vAlign w:val="bottom"/>
            <w:gridSpan w:val="2"/>
          </w:tcPr>
          <w:p>
            <w:pPr>
              <w:spacing w:after="0"/>
              <w:rPr>
                <w:sz w:val="20"/>
                <w:szCs w:val="20"/>
                <w:color w:val="auto"/>
              </w:rPr>
            </w:pPr>
          </w:p>
        </w:tc>
        <w:tc>
          <w:tcPr>
            <w:tcW w:w="9560" w:type="dxa"/>
            <w:vAlign w:val="bottom"/>
            <w:gridSpan w:val="19"/>
          </w:tcPr>
          <w:p>
            <w:pPr>
              <w:ind w:left="180"/>
              <w:spacing w:after="0"/>
              <w:rPr>
                <w:sz w:val="20"/>
                <w:szCs w:val="20"/>
                <w:color w:val="auto"/>
              </w:rPr>
            </w:pPr>
            <w:r>
              <w:rPr>
                <w:rFonts w:ascii="Times New Roman" w:cs="Times New Roman" w:eastAsia="Times New Roman" w:hAnsi="Times New Roman"/>
                <w:sz w:val="18"/>
                <w:szCs w:val="18"/>
                <w:color w:val="0000FF"/>
              </w:rPr>
              <w:t>Legal Proceedings</w:t>
            </w:r>
          </w:p>
        </w:tc>
        <w:tc>
          <w:tcPr>
            <w:tcW w:w="5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96"/>
              </w:rPr>
              <w:t>111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560" w:type="dxa"/>
            <w:vAlign w:val="bottom"/>
            <w:gridSpan w:val="19"/>
          </w:tcPr>
          <w:p>
            <w:pPr>
              <w:ind w:left="180"/>
              <w:spacing w:after="0"/>
              <w:rPr>
                <w:sz w:val="20"/>
                <w:szCs w:val="20"/>
                <w:color w:val="auto"/>
              </w:rPr>
            </w:pPr>
            <w:r>
              <w:rPr>
                <w:rFonts w:ascii="Times New Roman" w:cs="Times New Roman" w:eastAsia="Times New Roman" w:hAnsi="Times New Roman"/>
                <w:sz w:val="18"/>
                <w:szCs w:val="18"/>
                <w:color w:val="0000FF"/>
              </w:rPr>
              <w:t>Risk Factors</w:t>
            </w:r>
          </w:p>
        </w:tc>
        <w:tc>
          <w:tcPr>
            <w:tcW w:w="5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96"/>
              </w:rPr>
              <w:t>111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120" w:type="dxa"/>
            <w:vAlign w:val="bottom"/>
          </w:tcPr>
          <w:p>
            <w:pPr>
              <w:spacing w:after="0"/>
              <w:rPr>
                <w:sz w:val="20"/>
                <w:szCs w:val="20"/>
                <w:color w:val="auto"/>
              </w:rPr>
            </w:pPr>
          </w:p>
        </w:tc>
        <w:tc>
          <w:tcPr>
            <w:tcW w:w="9560" w:type="dxa"/>
            <w:vAlign w:val="bottom"/>
            <w:gridSpan w:val="19"/>
          </w:tcPr>
          <w:p>
            <w:pPr>
              <w:ind w:left="18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96"/>
              </w:rPr>
              <w:t>111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040" w:type="dxa"/>
            <w:vAlign w:val="bottom"/>
            <w:gridSpan w:val="6"/>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9560" w:type="dxa"/>
            <w:vAlign w:val="bottom"/>
            <w:gridSpan w:val="19"/>
          </w:tcPr>
          <w:p>
            <w:pPr>
              <w:ind w:left="18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96"/>
              </w:rPr>
              <w:t>111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7060" w:type="dxa"/>
            <w:vAlign w:val="bottom"/>
            <w:gridSpan w:val="8"/>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4.</w:t>
            </w:r>
          </w:p>
        </w:tc>
        <w:tc>
          <w:tcPr>
            <w:tcW w:w="240" w:type="dxa"/>
            <w:vAlign w:val="bottom"/>
            <w:gridSpan w:val="2"/>
          </w:tcPr>
          <w:p>
            <w:pPr>
              <w:spacing w:after="0"/>
              <w:rPr>
                <w:sz w:val="20"/>
                <w:szCs w:val="20"/>
                <w:color w:val="auto"/>
              </w:rPr>
            </w:pPr>
          </w:p>
        </w:tc>
        <w:tc>
          <w:tcPr>
            <w:tcW w:w="9560" w:type="dxa"/>
            <w:vAlign w:val="bottom"/>
            <w:gridSpan w:val="19"/>
          </w:tcPr>
          <w:p>
            <w:pPr>
              <w:ind w:left="18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96"/>
              </w:rPr>
              <w:t>111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7620" w:type="dxa"/>
            <w:vAlign w:val="bottom"/>
            <w:gridSpan w:val="9"/>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5.</w:t>
            </w:r>
          </w:p>
        </w:tc>
        <w:tc>
          <w:tcPr>
            <w:tcW w:w="240" w:type="dxa"/>
            <w:vAlign w:val="bottom"/>
            <w:gridSpan w:val="2"/>
          </w:tcPr>
          <w:p>
            <w:pPr>
              <w:spacing w:after="0"/>
              <w:rPr>
                <w:sz w:val="20"/>
                <w:szCs w:val="20"/>
                <w:color w:val="auto"/>
              </w:rPr>
            </w:pPr>
          </w:p>
        </w:tc>
        <w:tc>
          <w:tcPr>
            <w:tcW w:w="9560" w:type="dxa"/>
            <w:vAlign w:val="bottom"/>
            <w:gridSpan w:val="19"/>
          </w:tcPr>
          <w:p>
            <w:pPr>
              <w:ind w:left="180"/>
              <w:spacing w:after="0"/>
              <w:rPr>
                <w:sz w:val="20"/>
                <w:szCs w:val="20"/>
                <w:color w:val="auto"/>
              </w:rPr>
            </w:pPr>
            <w:r>
              <w:rPr>
                <w:rFonts w:ascii="Times New Roman" w:cs="Times New Roman" w:eastAsia="Times New Roman" w:hAnsi="Times New Roman"/>
                <w:sz w:val="18"/>
                <w:szCs w:val="18"/>
                <w:color w:val="0000FF"/>
              </w:rPr>
              <w:t>Other Information</w:t>
            </w:r>
          </w:p>
        </w:tc>
        <w:tc>
          <w:tcPr>
            <w:tcW w:w="5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96"/>
              </w:rPr>
              <w:t>111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8060" w:type="dxa"/>
            <w:vAlign w:val="bottom"/>
            <w:gridSpan w:val="11"/>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6.</w:t>
            </w:r>
          </w:p>
        </w:tc>
        <w:tc>
          <w:tcPr>
            <w:tcW w:w="240" w:type="dxa"/>
            <w:vAlign w:val="bottom"/>
            <w:gridSpan w:val="2"/>
          </w:tcPr>
          <w:p>
            <w:pPr>
              <w:spacing w:after="0"/>
              <w:rPr>
                <w:sz w:val="20"/>
                <w:szCs w:val="20"/>
                <w:color w:val="auto"/>
              </w:rPr>
            </w:pPr>
          </w:p>
        </w:tc>
        <w:tc>
          <w:tcPr>
            <w:tcW w:w="9560" w:type="dxa"/>
            <w:vAlign w:val="bottom"/>
            <w:gridSpan w:val="19"/>
          </w:tcPr>
          <w:p>
            <w:pPr>
              <w:ind w:left="180"/>
              <w:spacing w:after="0"/>
              <w:rPr>
                <w:sz w:val="20"/>
                <w:szCs w:val="20"/>
                <w:color w:val="auto"/>
              </w:rPr>
            </w:pPr>
            <w:r>
              <w:rPr>
                <w:rFonts w:ascii="Times New Roman" w:cs="Times New Roman" w:eastAsia="Times New Roman" w:hAnsi="Times New Roman"/>
                <w:sz w:val="18"/>
                <w:szCs w:val="18"/>
                <w:color w:val="0000FF"/>
              </w:rPr>
              <w:t>Exhibits</w:t>
            </w:r>
          </w:p>
        </w:tc>
        <w:tc>
          <w:tcPr>
            <w:tcW w:w="5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0000FF"/>
                <w:w w:val="96"/>
              </w:rPr>
              <w:t>112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This report may contain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statements we make regarding the outlook for our future business and financial performance, estimated operational metrics, business strategy and plans and objectives of management for future operations, including, among other things, statements regarding expected growth, future capital expenditures, fund performance, dividends and dividend policy and debt service obligations, such as those contained in “Item 2.— Management’s Discussion and Analysis of Financial Condition and Results of Operations.”</w:t>
      </w:r>
    </w:p>
    <w:p>
      <w:pPr>
        <w:spacing w:after="0" w:line="18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any forward-looking statements. Important factors that could cause actual results to differ materially from those in the forward-looking statements include the inability to recognize the anticipated benefits, or unexpected costs related to the integration, of acquired companies; our ability to manage growth and execute our business plan; and regional, national or global political, economic, business, competitive, market and regulatory conditions and uncertainties, including those described in “Item 1A.—Risk Factors” herein and in our Annual Report on Form 10-K for the year ended December 31, 2025 (our “Annual Report”) filed with the United States Securities and Exchange Commission (“SEC”) on February 17, 2026 and in subsequent filings with the SEC, as such factors may be updated from time to time in our periodic filings with the SEC, which are accessible on the SEC’s website at https://www.sec.gov, and “Item 2.—Management’s Discussion and Analysis of Financial Condition and Results of Operations.”</w:t>
      </w:r>
    </w:p>
    <w:p>
      <w:pPr>
        <w:spacing w:after="0" w:line="19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the reasons described above, we caution you against relying on any forward-looking statements, which should also be read in conjunction with the other cautionary statements that are included elsewhere in this report. Any forward-looking statement made by us in this Quarterly Report on Form 10-Q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and Social Media Disclosure</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use our website (https://www.tpg.com), Rise website (https://therisefund.com), TPG Private Equity Opportunities website (https://tpop.tpg.com), TPG Twin Brook website (https://twincp.com), TPG Twin Brook Capital Income Fund website (https://agtbcap.com), Microsites (https://software.tpg.com, https://healthcare.tpg.com), TPG LinkedIn (https://www.linkedin.com/company/tpg-capital), TPG Angelo Gordon LinkedIn (https://www.linkedin.com/company/tpg-angelo-gordon), TPG Twin Brook LinkedIn (https://www.linkedin.com/company/twin-brook-capital-partners), Peppertree LinkedIn (https://www.linkedin.com/company/peppertree-capital), X (formerly known as Twitter) (https://x.com/tpg), Vimeo</w:t>
      </w:r>
    </w:p>
    <w:p>
      <w:pPr>
        <w:spacing w:after="0" w:line="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(https://vimeo.com/user52190696), TPG YouTube (https://www.youtube.com/@tpg-inc), Rise YouTube (https://www.youtube.com/channel/UCo8p2iF_I5p-Wr2_MQlzedw/featured), TPG Instagram (https://www.instagram.com/TPG_INCORPORATED) and Rise Instagram (https://www.instagram.com/therisefund/?hl=en) accounts as channels of distribution of company information. The information we post through these channels may be deemed material. Accordingly, investors should monitor these channels, in addition to following our press releases, SEC filings and public conference calls and webcasts. In addition, you may automatically receive email alerts and other information about TPG when you enroll your email address by visiting the “Email Alerts” section of our website at https://shareholders.tpg.com. The contents of our website, any alerts and social media channels are not, however, a part of this report.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USED IN THIS REPORT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used in this Quarterly Report on Form 10-Q, unless the context otherwise requires, references to:</w:t>
      </w:r>
    </w:p>
    <w:p>
      <w:pPr>
        <w:spacing w:after="0" w:line="225" w:lineRule="exact"/>
        <w:rPr>
          <w:sz w:val="20"/>
          <w:szCs w:val="20"/>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“the Company,” “we,” “our” and “us,” or like terms, refer to TPG Inc. and its consolidated subsidiaries taken as a whole.</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“Angelo Gordon” refers, collectively, to Angelo, Gordon &amp; Co., L.P. (“AG OpCo”) and AG Funds L.P. (“AG CarryCo”), each a Delaware limited partnership.</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refers to Class A common stock of TPG Inc., which entitles the holder to one vote per share. When we use the term “Class A common stock” in this Quarterly Report on Form 10-Q, we are referring exclusively to such voting Class A common stock and not to “nonvoting Class A common stock.”</w:t>
      </w:r>
    </w:p>
    <w:p>
      <w:pPr>
        <w:spacing w:after="0" w:line="175"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common stock” refers to Class B common stock of TPG Inc., which entitles the holder to ten votes per share until the Sunset but carries no economic rights.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Unit” refers to a common unit in the TPG Operating Group.</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refers to the Securities Exchange Act of 1934, as amended.</w:t>
      </w:r>
    </w:p>
    <w:p>
      <w:pPr>
        <w:spacing w:after="0" w:line="225"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Agreement” refers to the Amended and Restated Exchange Agreement entered into by TPG Inc. and the other parties thereto on November 1, 2023.</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Assets” refers to the assets and economic entitlements transferred to RemainCo listed in Schedule A to the master contribution agreement entered into in connection with the Reorganization (as defined herein), which primarily include (i) minority interests in certain sponsors unaffiliated with TPG, (ii) the right to certain performance allocations in TPG funds, (iii) certain co-invest interests and (iv) cash.</w:t>
      </w:r>
    </w:p>
    <w:p>
      <w:pPr>
        <w:spacing w:after="0" w:line="17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“Founders” refers to David Bonderman and James G. (“Jim”) Coulter.</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“GP LLC” refers to TPG GP A, LLC, the owner of the general partner of TPG Group Holdings.</w:t>
      </w:r>
    </w:p>
    <w:p>
      <w:pPr>
        <w:spacing w:after="0" w:line="22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“Guarantors” refers to TPG Inc., and certain indirect consolidated subsidiaries of the Company, including TPG Operating Group I, L.P., TPG Operating Group III, L.P. and TPG Holdings II Sub, L.P., that agreed to guarantee the Senior Notes (as defined herein) and Subordinated Notes (as defined herein).</w:t>
      </w:r>
    </w:p>
    <w:p>
      <w:pPr>
        <w:spacing w:after="0" w:line="17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Rights Agreement” refers to the Amended and Restated Investor Rights Agreement entered into by TPG Inc. and the other parties thereto on November 1, 2023.</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“IPO” refers to our initial public offering of Class A common stock of TPG Inc. that was completed on January 18, 2022.</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“nonvoting Class A common stock” refers to the nonvoting Class A common stock of TPG Inc., which has no voting rights and is convertible into shares of Class A common stock upon transfer to a third party as and when permitted by the Investor Rights Agreement.</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Issuer” refers to TPG Operating Group II, L.P., an indirect consolidated subsidiary of the Company.</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funds” refers to the funds, investment vehicles and other entities and accounts that are managed or co-managed by TPG for which we, directly or indirectly, act as general partner or in a similar capacity.</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“Peppertree” refers to the business of Peppertree Capital Management, Inc., an Ohio corporation. Following the closing of the acquisition, we refer to Peppertree as “TPG Peppertree.”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80" w:hanging="486"/>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“RemainCo” refers to, collectively, Tarrant Remain Co I, L.P., a Delaware limited partnership, Tarrant Remain Co II, L.P., a Delaware limited partnership, and Tarrant Remain Co III, L.P., a Delaware limited partnership, which own the Excluded Assets, and Tarrant Remain Co GP, LLC, a Delaware limited liability company serving as their general partner.</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refers to the corporate reorganization, which included a corporate conversion of TPG Partners, LLC to a Delaware corporation named TPG Inc., in conjunction with the IPO. Unless the context suggests otherwise, references in this report to “TPG,” “the Company,” “we,” “us” and “our” refer (i) prior to the completion of the Reorganization and IPO to TPG Group Holdings SBS, L.P. and its consolidated subsidiaries and (ii) from and after the completion of the Reorganization and IPO to TPG Inc. and its consolidated subsidiaries.</w:t>
      </w:r>
    </w:p>
    <w:p>
      <w:pPr>
        <w:spacing w:after="0" w:line="17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refers to the Securities Act of 1933, as amended.</w:t>
      </w:r>
    </w:p>
    <w:p>
      <w:pPr>
        <w:spacing w:after="0" w:line="225" w:lineRule="exact"/>
        <w:rPr>
          <w:rFonts w:ascii="Times New Roman" w:cs="Times New Roman" w:eastAsia="Times New Roman" w:hAnsi="Times New Roman"/>
          <w:sz w:val="18"/>
          <w:szCs w:val="18"/>
          <w:color w:val="auto"/>
        </w:rPr>
      </w:pPr>
    </w:p>
    <w:p>
      <w:pPr>
        <w:jc w:val="both"/>
        <w:ind w:left="980" w:hanging="486"/>
        <w:spacing w:after="0" w:line="254"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“Sunset” refers to the event that will occur on the date that a majority of the independent directors are elected at the first annual meeting of stockholders (or pursuant to a consent of stockholders in lieu thereof) after the earlier of (i) the earliest date specified in a notice delivered to the Company by GP LLC and its members pursuant to that certain GP LLC limited liability company agreement promptly following the earliest of: (a) the date that is three months after the date that neither Founder continues to be a member of GP LLC, (b) a vote of GP LLC to trigger the Sunset and (c) upon 60-days advance notice, the date determined by either Founder who is then a member of the Control Group to trigger the Sunset, if, following a period of at least 60 days, the requisite parties are unable to agree on the renewal of Mr. Winkelried’s employment agreement or the selection of a new Chief Executive Officer (“CEO”) in the event that Mr. Winkelried ceases to serve as our CEO, and (ii) the first day of the quarter immediately following the fifth anniversary of the IPO.</w:t>
      </w:r>
    </w:p>
    <w:p>
      <w:pPr>
        <w:spacing w:after="0" w:line="19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Receivable Agreement” refers to the Amended and Restated Tax Receivable Agreement entered into by TPG Inc. and the other parties thereto on November 1, 2023.</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general partner entities” refers to certain entities that (i) serve as the general partner of certain TPG funds and (ii) are, or historically were, consolidated by TPG Group Holdings.</w:t>
      </w:r>
    </w:p>
    <w:p>
      <w:pPr>
        <w:spacing w:after="0" w:line="16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Group Holdings” refers to TPG Group Holdings (SBS), L.P., a Delaware limited partnership that is considered our predecessor for accounting purposes and is a TPG Partner Vehicle and direct owner of certain Common Units and Class B common stock.</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58"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Operating Group” refers (i) for periods prior to giving effect to the Reorganization, to the TPG Operating Group partnerships and their respective consolidated subsidiaries; (ii) for periods beginning after giving effect to the Reorganization through November 1, 2023, (A) to the TPG Operating Group partnerships and their respective consolidated subsidiaries and (B) not to RemainCo and (iii) for periods after November 1, 2023, to TPG Operating Group II, L.P., a Delaware limited partnership, and its respective consolidated subsidiaries, including TPG Operating Group I, L.P. and TPG Operating Group III, L.P.</w:t>
      </w:r>
    </w:p>
    <w:p>
      <w:pPr>
        <w:spacing w:after="0" w:line="183" w:lineRule="exact"/>
        <w:rPr>
          <w:rFonts w:ascii="Times New Roman" w:cs="Times New Roman" w:eastAsia="Times New Roman" w:hAnsi="Times New Roman"/>
          <w:sz w:val="18"/>
          <w:szCs w:val="18"/>
          <w:color w:val="auto"/>
        </w:rPr>
      </w:pPr>
    </w:p>
    <w:p>
      <w:pPr>
        <w:jc w:val="both"/>
        <w:ind w:left="980" w:right="20" w:hanging="486"/>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Operating Group partnerships” refers to TPG Operating Group I, L.P., a Delaware limited partnership formerly named TPG Holdings I, L.P., TPG Operating Group II, L.P., a Delaware limited partnership formerly named TPG Holdings II, L.P., and TPG Operating Group III, L.P., a Delaware limited partnership formerly named TPG Holdings III, L.P.</w:t>
      </w:r>
    </w:p>
    <w:p>
      <w:pPr>
        <w:spacing w:after="0" w:line="17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Partner Holdings” refers to TPG Partner Holdings, L.P., a Delaware limited partnership, which is a TPG Partner Vehicle that indirectly owns substantially all of the economic interests of TPG Group Holdings, a TPG Partner Vehicle.</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Partner Vehicles” refers to, collectively, the vehicles through which the Founders and current and former TPG partners (including such persons’ related entities and estate planning vehicles) hold their equity in the TPG Operating Group, including TPG Group Holdings and TPG Partner Holdings.</w:t>
      </w:r>
    </w:p>
    <w:p>
      <w:pPr>
        <w:spacing w:after="0" w:line="13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In addition, for definitions of “Gross IRR,” “Net IRR,” “Gross MoM,” “Net MoM” and related terms, see “Item 2.—Management’s Discussion and Analysis of Financial Condition and Results of Operations—Operating Metrics—Fund Performance Metrics.”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Financial Condition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40" w:type="dxa"/>
            <w:vAlign w:val="bottom"/>
          </w:tcPr>
          <w:p>
            <w:pPr>
              <w:spacing w:after="0"/>
              <w:rPr>
                <w:sz w:val="18"/>
                <w:szCs w:val="18"/>
                <w:color w:val="auto"/>
              </w:rPr>
            </w:pPr>
          </w:p>
        </w:tc>
        <w:tc>
          <w:tcPr>
            <w:tcW w:w="1820" w:type="dxa"/>
            <w:vAlign w:val="bottom"/>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r>
      <w:tr>
        <w:trPr>
          <w:trHeight w:val="230"/>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799,786</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826,105</w:t>
            </w:r>
          </w:p>
        </w:tc>
      </w:tr>
      <w:tr>
        <w:trPr>
          <w:trHeight w:val="229"/>
        </w:trPr>
        <w:tc>
          <w:tcPr>
            <w:tcW w:w="70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Restricted cash</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13,166</w:t>
            </w:r>
          </w:p>
        </w:tc>
      </w:tr>
      <w:tr>
        <w:trPr>
          <w:trHeight w:val="22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from affiliates</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519,536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573,590</w:t>
            </w:r>
          </w:p>
        </w:tc>
      </w:tr>
      <w:tr>
        <w:trPr>
          <w:trHeight w:val="176"/>
        </w:trPr>
        <w:tc>
          <w:tcPr>
            <w:tcW w:w="70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Investments (includes assets pledged of $461,705 and $603,322 as of September 30, 2026 and</w:t>
            </w:r>
          </w:p>
        </w:tc>
        <w:tc>
          <w:tcPr>
            <w:tcW w:w="2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243"/>
        </w:trPr>
        <w:tc>
          <w:tcPr>
            <w:tcW w:w="7040" w:type="dxa"/>
            <w:vAlign w:val="bottom"/>
            <w:shd w:val="clear" w:color="auto" w:fill="CCEEFF"/>
          </w:tcPr>
          <w:p>
            <w:pPr>
              <w:ind w:left="360"/>
              <w:spacing w:after="0" w:line="243" w:lineRule="exact"/>
              <w:rPr>
                <w:sz w:val="20"/>
                <w:szCs w:val="20"/>
                <w:color w:val="auto"/>
              </w:rPr>
            </w:pPr>
            <w:r>
              <w:rPr>
                <w:rFonts w:ascii="Times New Roman" w:cs="Times New Roman" w:eastAsia="Times New Roman" w:hAnsi="Times New Roman"/>
                <w:sz w:val="18"/>
                <w:szCs w:val="18"/>
                <w:color w:val="auto"/>
              </w:rPr>
              <w:t>December 31, 2025, respectively</w:t>
            </w:r>
            <w:r>
              <w:rPr>
                <w:rFonts w:ascii="Times New Roman" w:cs="Times New Roman" w:eastAsia="Times New Roman" w:hAnsi="Times New Roman"/>
                <w:sz w:val="23"/>
                <w:szCs w:val="23"/>
                <w:color w:val="auto"/>
                <w:vertAlign w:val="superscript"/>
              </w:rPr>
              <w:t>(a)</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10,277,810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9,211,816</w:t>
            </w:r>
          </w:p>
        </w:tc>
      </w:tr>
      <w:tr>
        <w:trPr>
          <w:trHeight w:val="22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551,458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659,839</w:t>
            </w:r>
          </w:p>
        </w:tc>
      </w:tr>
      <w:tr>
        <w:trPr>
          <w:trHeight w:val="229"/>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498,188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498,188</w:t>
            </w:r>
          </w:p>
        </w:tc>
      </w:tr>
      <w:tr>
        <w:trPr>
          <w:trHeight w:val="230"/>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549,487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552,254</w:t>
            </w:r>
          </w:p>
        </w:tc>
      </w:tr>
      <w:tr>
        <w:trPr>
          <w:trHeight w:val="229"/>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983,296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860,676</w:t>
            </w:r>
          </w:p>
        </w:tc>
      </w:tr>
      <w:tr>
        <w:trPr>
          <w:trHeight w:val="230"/>
        </w:trPr>
        <w:tc>
          <w:tcPr>
            <w:tcW w:w="7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490,465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297,301</w:t>
            </w:r>
          </w:p>
        </w:tc>
      </w:tr>
      <w:tr>
        <w:trPr>
          <w:trHeight w:val="248"/>
        </w:trPr>
        <w:tc>
          <w:tcPr>
            <w:tcW w:w="70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14,683,276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13,492,935</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0"/>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459,237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230,523</w:t>
            </w:r>
          </w:p>
        </w:tc>
      </w:tr>
      <w:tr>
        <w:trPr>
          <w:trHeight w:val="22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to affiliates</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766,275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694,632</w:t>
            </w:r>
          </w:p>
        </w:tc>
      </w:tr>
      <w:tr>
        <w:trPr>
          <w:trHeight w:val="230"/>
        </w:trPr>
        <w:tc>
          <w:tcPr>
            <w:tcW w:w="704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Debt obligations</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2,279,492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1,722,547</w:t>
            </w:r>
          </w:p>
        </w:tc>
      </w:tr>
      <w:tr>
        <w:trPr>
          <w:trHeight w:val="230"/>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performance allocation compensation</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5,934,509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5,399,750</w:t>
            </w:r>
          </w:p>
        </w:tc>
      </w:tr>
      <w:tr>
        <w:trPr>
          <w:trHeight w:val="230"/>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604,593</w:t>
            </w:r>
          </w:p>
        </w:tc>
      </w:tr>
      <w:tr>
        <w:trPr>
          <w:trHeight w:val="229"/>
        </w:trPr>
        <w:tc>
          <w:tcPr>
            <w:tcW w:w="7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616,718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704,515</w:t>
            </w:r>
          </w:p>
        </w:tc>
      </w:tr>
      <w:tr>
        <w:trPr>
          <w:trHeight w:val="223"/>
        </w:trPr>
        <w:tc>
          <w:tcPr>
            <w:tcW w:w="7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10,716,031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9,356,560</w:t>
            </w:r>
          </w:p>
        </w:tc>
      </w:tr>
      <w:tr>
        <w:trPr>
          <w:trHeight w:val="196"/>
        </w:trPr>
        <w:tc>
          <w:tcPr>
            <w:tcW w:w="7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16"/>
        </w:trPr>
        <w:tc>
          <w:tcPr>
            <w:tcW w:w="7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175"/>
        </w:trPr>
        <w:tc>
          <w:tcPr>
            <w:tcW w:w="70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common stock $0.001 par value, 2,340,000,000 shares authorized (173,699,268 and</w:t>
            </w:r>
          </w:p>
        </w:tc>
        <w:tc>
          <w:tcPr>
            <w:tcW w:w="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84"/>
        </w:trPr>
        <w:tc>
          <w:tcPr>
            <w:tcW w:w="704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153,113,961 shares issued and outstanding as of September 30, 2026 and December 31,</w:t>
            </w:r>
          </w:p>
        </w:tc>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34"/>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2025, respectively)</w:t>
            </w: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176"/>
        </w:trPr>
        <w:tc>
          <w:tcPr>
            <w:tcW w:w="70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B common stock $0.001 par value, 750,000,000 shares authorized (210,848,910 and</w:t>
            </w:r>
          </w:p>
        </w:tc>
        <w:tc>
          <w:tcPr>
            <w:tcW w:w="2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184"/>
        </w:trPr>
        <w:tc>
          <w:tcPr>
            <w:tcW w:w="704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224,331,812 shares issued and outstanding as of September 30, 2026 and December 31,</w:t>
            </w:r>
          </w:p>
        </w:tc>
        <w:tc>
          <w:tcPr>
            <w:tcW w:w="2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r>
      <w:tr>
        <w:trPr>
          <w:trHeight w:val="234"/>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2025, respectively)</w:t>
            </w:r>
          </w:p>
        </w:tc>
        <w:tc>
          <w:tcPr>
            <w:tcW w:w="22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175"/>
        </w:trPr>
        <w:tc>
          <w:tcPr>
            <w:tcW w:w="704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25,000,000 shares authorized (0 issued and outstanding as</w:t>
            </w:r>
          </w:p>
        </w:tc>
        <w:tc>
          <w:tcPr>
            <w:tcW w:w="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243"/>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 September 30, 2026 and December 31, 2025)</w:t>
            </w:r>
          </w:p>
        </w:tc>
        <w:tc>
          <w:tcPr>
            <w:tcW w:w="220" w:type="dxa"/>
            <w:vAlign w:val="bottom"/>
          </w:tcPr>
          <w:p>
            <w:pPr>
              <w:spacing w:after="0"/>
              <w:rPr>
                <w:sz w:val="21"/>
                <w:szCs w:val="21"/>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1,764,591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1,476,444</w:t>
            </w:r>
          </w:p>
        </w:tc>
      </w:tr>
      <w:tr>
        <w:trPr>
          <w:trHeight w:val="230"/>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(291,604)</w:t>
            </w:r>
          </w:p>
        </w:tc>
      </w:tr>
      <w:tr>
        <w:trPr>
          <w:trHeight w:val="229"/>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net of tax</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2,615,241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2,951,158</w:t>
            </w:r>
          </w:p>
        </w:tc>
      </w:tr>
      <w:tr>
        <w:trPr>
          <w:trHeight w:val="223"/>
        </w:trPr>
        <w:tc>
          <w:tcPr>
            <w:tcW w:w="7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3,967,245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4,136,375</w:t>
            </w:r>
          </w:p>
        </w:tc>
      </w:tr>
      <w:tr>
        <w:trPr>
          <w:trHeight w:val="223"/>
        </w:trPr>
        <w:tc>
          <w:tcPr>
            <w:tcW w:w="70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14,683,276</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13,492,935</w:t>
            </w:r>
          </w:p>
        </w:tc>
      </w:tr>
      <w:tr>
        <w:trPr>
          <w:trHeight w:val="20"/>
        </w:trPr>
        <w:tc>
          <w:tcPr>
            <w:tcW w:w="7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9" w:lineRule="exact"/>
        <w:rPr>
          <w:sz w:val="20"/>
          <w:szCs w:val="20"/>
          <w:color w:val="auto"/>
        </w:rPr>
      </w:pPr>
    </w:p>
    <w:p>
      <w:pPr>
        <w:jc w:val="both"/>
        <w:ind w:left="500" w:hanging="492"/>
        <w:spacing w:after="0" w:line="271" w:lineRule="auto"/>
        <w:tabs>
          <w:tab w:leader="none" w:pos="49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consolidated total assets and liabilities as of September 30, 2026 and December 31, 2025 include assets and liabilities of variable interest entities (“VIEs”). These assets can be used only to satisfy obligations of the VIEs, and the creditors of the VIEs have recourse only to these assets, and not to TPG Inc. See Notes 2, 7 and 8 to the Condensed Consolidated Financial Statements.</w:t>
      </w:r>
    </w:p>
    <w:p>
      <w:pPr>
        <w:sectPr>
          <w:pgSz w:w="11900" w:h="16838" w:orient="portrait"/>
          <w:cols w:equalWidth="0" w:num="1">
            <w:col w:w="11240"/>
          </w:cols>
          <w:pgMar w:left="320" w:top="121" w:right="33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6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8"/>
                <w:szCs w:val="18"/>
                <w:color w:val="auto"/>
              </w:rPr>
            </w:pPr>
          </w:p>
        </w:tc>
        <w:tc>
          <w:tcPr>
            <w:tcW w:w="2840" w:type="dxa"/>
            <w:vAlign w:val="bottom"/>
            <w:gridSpan w:val="4"/>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0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Fees and other</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712,743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596,499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2,037,734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1,709,028</w:t>
            </w:r>
          </w:p>
        </w:tc>
      </w:tr>
      <w:tr>
        <w:trPr>
          <w:trHeight w:val="230"/>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allocation-based income</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1,524,808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1,469,902</w:t>
            </w:r>
          </w:p>
        </w:tc>
      </w:tr>
      <w:tr>
        <w:trPr>
          <w:trHeight w:val="223"/>
        </w:trPr>
        <w:tc>
          <w:tcPr>
            <w:tcW w:w="50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1,221,112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1,223,517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3,562,542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3,178,930</w:t>
            </w:r>
          </w:p>
        </w:tc>
      </w:tr>
      <w:tr>
        <w:trPr>
          <w:trHeight w:val="21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Cash-based compensation and benefits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713,588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646,157</w:t>
            </w:r>
          </w:p>
        </w:tc>
      </w:tr>
      <w:tr>
        <w:trPr>
          <w:trHeight w:val="230"/>
        </w:trPr>
        <w:tc>
          <w:tcPr>
            <w:tcW w:w="5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700,498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573,836</w:t>
            </w:r>
          </w:p>
        </w:tc>
      </w:tr>
      <w:tr>
        <w:trPr>
          <w:trHeight w:val="229"/>
        </w:trPr>
        <w:tc>
          <w:tcPr>
            <w:tcW w:w="5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Performance allocation compensation</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1,045,070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951,562</w:t>
            </w:r>
          </w:p>
        </w:tc>
      </w:tr>
      <w:tr>
        <w:trPr>
          <w:trHeight w:val="223"/>
        </w:trPr>
        <w:tc>
          <w:tcPr>
            <w:tcW w:w="5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2,459,156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2,171,555</w:t>
            </w: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512,844</w:t>
            </w:r>
          </w:p>
        </w:tc>
      </w:tr>
      <w:tr>
        <w:trPr>
          <w:trHeight w:val="229"/>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103,225</w:t>
            </w:r>
          </w:p>
        </w:tc>
      </w:tr>
      <w:tr>
        <w:trPr>
          <w:trHeight w:val="230"/>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81,690</w:t>
            </w:r>
          </w:p>
        </w:tc>
      </w:tr>
      <w:tr>
        <w:trPr>
          <w:trHeight w:val="223"/>
        </w:trPr>
        <w:tc>
          <w:tcPr>
            <w:tcW w:w="50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1,035,814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1,031,323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3,181,758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2,869,314</w:t>
            </w:r>
          </w:p>
        </w:tc>
      </w:tr>
      <w:tr>
        <w:trPr>
          <w:trHeight w:val="21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income (loss)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gains (losses) from investment activities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w:t>
            </w:r>
          </w:p>
        </w:tc>
      </w:tr>
      <w:tr>
        <w:trPr>
          <w:trHeight w:val="230"/>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dividends and other</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54,700</w:t>
            </w:r>
          </w:p>
        </w:tc>
      </w:tr>
      <w:tr>
        <w:trPr>
          <w:trHeight w:val="223"/>
        </w:trPr>
        <w:tc>
          <w:tcPr>
            <w:tcW w:w="50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52,034</w:t>
            </w:r>
          </w:p>
        </w:tc>
      </w:tr>
      <w:tr>
        <w:trPr>
          <w:trHeight w:val="223"/>
        </w:trPr>
        <w:tc>
          <w:tcPr>
            <w:tcW w:w="5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361,650</w:t>
            </w:r>
          </w:p>
        </w:tc>
      </w:tr>
      <w:tr>
        <w:trPr>
          <w:trHeight w:val="230"/>
        </w:trPr>
        <w:tc>
          <w:tcPr>
            <w:tcW w:w="5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44,481</w:t>
            </w:r>
          </w:p>
        </w:tc>
      </w:tr>
      <w:tr>
        <w:trPr>
          <w:trHeight w:val="223"/>
        </w:trPr>
        <w:tc>
          <w:tcPr>
            <w:tcW w:w="5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317,169</w:t>
            </w:r>
          </w:p>
        </w:tc>
      </w:tr>
      <w:tr>
        <w:trPr>
          <w:trHeight w:val="230"/>
        </w:trPr>
        <w:tc>
          <w:tcPr>
            <w:tcW w:w="5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209,695</w:t>
            </w:r>
          </w:p>
        </w:tc>
      </w:tr>
      <w:tr>
        <w:trPr>
          <w:trHeight w:val="248"/>
        </w:trPr>
        <w:tc>
          <w:tcPr>
            <w:tcW w:w="50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Net income attributable to TPG Inc.</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107,474</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data:</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available to Class A common stock per share</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r>
      <w:tr>
        <w:trPr>
          <w:trHeight w:val="230"/>
        </w:trPr>
        <w:tc>
          <w:tcPr>
            <w:tcW w:w="5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171,184,988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150,527,419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165,205,826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133,901,421</w:t>
            </w:r>
          </w:p>
        </w:tc>
      </w:tr>
      <w:tr>
        <w:trPr>
          <w:trHeight w:val="230"/>
        </w:trPr>
        <w:tc>
          <w:tcPr>
            <w:tcW w:w="5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385,665,619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378,345,947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384,955,522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372,649,226</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8"/>
                <w:szCs w:val="18"/>
                <w:color w:val="auto"/>
              </w:rPr>
            </w:pPr>
          </w:p>
        </w:tc>
        <w:tc>
          <w:tcPr>
            <w:tcW w:w="2840" w:type="dxa"/>
            <w:vAlign w:val="bottom"/>
            <w:gridSpan w:val="4"/>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0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317,169</w:t>
            </w: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264,512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199,230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460,122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317,169</w:t>
            </w:r>
          </w:p>
        </w:tc>
      </w:tr>
      <w:tr>
        <w:trPr>
          <w:trHeight w:val="229"/>
        </w:trPr>
        <w:tc>
          <w:tcPr>
            <w:tcW w:w="5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132,090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209,695</w:t>
            </w:r>
          </w:p>
        </w:tc>
      </w:tr>
      <w:tr>
        <w:trPr>
          <w:trHeight w:val="248"/>
        </w:trPr>
        <w:tc>
          <w:tcPr>
            <w:tcW w:w="5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TPG Inc.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107,474</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TPG Inc.</w:t>
      </w:r>
    </w:p>
    <w:p>
      <w:pPr>
        <w:jc w:val="center"/>
        <w:ind w:right="-39"/>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(unaudited)</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200" w:lineRule="exact"/>
        <w:rPr>
          <w:sz w:val="20"/>
          <w:szCs w:val="20"/>
          <w:color w:val="auto"/>
        </w:rPr>
      </w:pP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2040" w:type="dxa"/>
            <w:vAlign w:val="bottom"/>
          </w:tcPr>
          <w:p>
            <w:pPr>
              <w:spacing w:after="0"/>
              <w:rPr>
                <w:sz w:val="17"/>
                <w:szCs w:val="17"/>
                <w:color w:val="auto"/>
              </w:rPr>
            </w:pPr>
          </w:p>
        </w:tc>
        <w:tc>
          <w:tcPr>
            <w:tcW w:w="18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Shares of TPG Inc.</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TPG Inc.</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040" w:type="dxa"/>
            <w:vAlign w:val="bottom"/>
          </w:tcPr>
          <w:p>
            <w:pPr>
              <w:spacing w:after="0"/>
              <w:rPr>
                <w:sz w:val="12"/>
                <w:szCs w:val="12"/>
                <w:color w:val="auto"/>
              </w:rPr>
            </w:pP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Class A</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Class B</w:t>
            </w:r>
          </w:p>
        </w:tc>
        <w:tc>
          <w:tcPr>
            <w:tcW w:w="740" w:type="dxa"/>
            <w:vAlign w:val="bottom"/>
            <w:gridSpan w:val="3"/>
          </w:tcPr>
          <w:p>
            <w:pPr>
              <w:ind w:left="80"/>
              <w:spacing w:after="0" w:line="146" w:lineRule="exact"/>
              <w:rPr>
                <w:sz w:val="20"/>
                <w:szCs w:val="20"/>
                <w:color w:val="auto"/>
              </w:rPr>
            </w:pPr>
            <w:r>
              <w:rPr>
                <w:rFonts w:ascii="Times New Roman" w:cs="Times New Roman" w:eastAsia="Times New Roman" w:hAnsi="Times New Roman"/>
                <w:sz w:val="15"/>
                <w:szCs w:val="15"/>
                <w:b w:val="1"/>
                <w:bCs w:val="1"/>
                <w:color w:val="auto"/>
              </w:rPr>
              <w:t>Class A</w:t>
            </w:r>
          </w:p>
        </w:tc>
        <w:tc>
          <w:tcPr>
            <w:tcW w:w="760" w:type="dxa"/>
            <w:vAlign w:val="bottom"/>
            <w:gridSpan w:val="3"/>
          </w:tcPr>
          <w:p>
            <w:pPr>
              <w:ind w:left="100"/>
              <w:spacing w:after="0" w:line="146" w:lineRule="exact"/>
              <w:rPr>
                <w:sz w:val="20"/>
                <w:szCs w:val="20"/>
                <w:color w:val="auto"/>
              </w:rPr>
            </w:pPr>
            <w:r>
              <w:rPr>
                <w:rFonts w:ascii="Times New Roman" w:cs="Times New Roman" w:eastAsia="Times New Roman" w:hAnsi="Times New Roman"/>
                <w:sz w:val="15"/>
                <w:szCs w:val="15"/>
                <w:b w:val="1"/>
                <w:bCs w:val="1"/>
                <w:color w:val="auto"/>
              </w:rPr>
              <w:t>Class B</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Non-</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5"/>
                <w:szCs w:val="15"/>
                <w:b w:val="1"/>
                <w:bCs w:val="1"/>
                <w:color w:val="auto"/>
              </w:rPr>
              <w:t>Common</w:t>
            </w:r>
          </w:p>
        </w:tc>
        <w:tc>
          <w:tcPr>
            <w:tcW w:w="7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5"/>
                <w:szCs w:val="15"/>
                <w:b w:val="1"/>
                <w:bCs w:val="1"/>
                <w:color w:val="auto"/>
              </w:rPr>
              <w:t>Common</w:t>
            </w: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5"/>
                <w:szCs w:val="15"/>
                <w:b w:val="1"/>
                <w:bCs w:val="1"/>
                <w:color w:val="auto"/>
              </w:rPr>
              <w:t>Other</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98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Common</w:t>
            </w:r>
          </w:p>
        </w:tc>
        <w:tc>
          <w:tcPr>
            <w:tcW w:w="9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Common</w:t>
            </w:r>
          </w:p>
        </w:tc>
        <w:tc>
          <w:tcPr>
            <w:tcW w:w="74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5"/>
                <w:szCs w:val="15"/>
                <w:b w:val="1"/>
                <w:bCs w:val="1"/>
                <w:color w:val="auto"/>
              </w:rPr>
              <w:t>Stock, at</w:t>
            </w:r>
          </w:p>
        </w:tc>
        <w:tc>
          <w:tcPr>
            <w:tcW w:w="760" w:type="dxa"/>
            <w:vAlign w:val="bottom"/>
            <w:gridSpan w:val="3"/>
          </w:tcPr>
          <w:p>
            <w:pPr>
              <w:ind w:left="60"/>
              <w:spacing w:after="0" w:line="162" w:lineRule="exact"/>
              <w:rPr>
                <w:sz w:val="20"/>
                <w:szCs w:val="20"/>
                <w:color w:val="auto"/>
              </w:rPr>
            </w:pPr>
            <w:r>
              <w:rPr>
                <w:rFonts w:ascii="Times New Roman" w:cs="Times New Roman" w:eastAsia="Times New Roman" w:hAnsi="Times New Roman"/>
                <w:sz w:val="15"/>
                <w:szCs w:val="15"/>
                <w:b w:val="1"/>
                <w:bCs w:val="1"/>
                <w:color w:val="auto"/>
              </w:rPr>
              <w:t>Stock, at</w:t>
            </w:r>
          </w:p>
        </w:tc>
        <w:tc>
          <w:tcPr>
            <w:tcW w:w="820" w:type="dxa"/>
            <w:vAlign w:val="bottom"/>
          </w:tcPr>
          <w:p>
            <w:pPr>
              <w:jc w:val="right"/>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Paid-In</w:t>
            </w:r>
          </w:p>
        </w:tc>
        <w:tc>
          <w:tcPr>
            <w:tcW w:w="80" w:type="dxa"/>
            <w:vAlign w:val="bottom"/>
          </w:tcPr>
          <w:p>
            <w:pPr>
              <w:spacing w:after="0"/>
              <w:rPr>
                <w:sz w:val="14"/>
                <w:szCs w:val="14"/>
                <w:color w:val="auto"/>
              </w:rPr>
            </w:pPr>
          </w:p>
        </w:tc>
        <w:tc>
          <w:tcPr>
            <w:tcW w:w="100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1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5"/>
                <w:szCs w:val="15"/>
                <w:b w:val="1"/>
                <w:bCs w:val="1"/>
                <w:color w:val="auto"/>
                <w:w w:val="99"/>
              </w:rPr>
              <w:t>Comprehensive</w:t>
            </w:r>
          </w:p>
        </w:tc>
        <w:tc>
          <w:tcPr>
            <w:tcW w:w="92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5"/>
                <w:szCs w:val="15"/>
                <w:b w:val="1"/>
                <w:bCs w:val="1"/>
                <w:color w:val="auto"/>
              </w:rPr>
              <w:t>Total TPG</w:t>
            </w:r>
          </w:p>
        </w:tc>
        <w:tc>
          <w:tcPr>
            <w:tcW w:w="9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Controlling</w:t>
            </w:r>
          </w:p>
        </w:tc>
        <w:tc>
          <w:tcPr>
            <w:tcW w:w="820" w:type="dxa"/>
            <w:vAlign w:val="bottom"/>
          </w:tcPr>
          <w:p>
            <w:pPr>
              <w:jc w:val="right"/>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2"/>
        </w:trPr>
        <w:tc>
          <w:tcPr>
            <w:tcW w:w="2040" w:type="dxa"/>
            <w:vAlign w:val="bottom"/>
          </w:tcPr>
          <w:p>
            <w:pPr>
              <w:spacing w:after="0"/>
              <w:rPr>
                <w:sz w:val="17"/>
                <w:szCs w:val="17"/>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par value</w:t>
            </w: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par value</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Income (Loss)</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Inc. Equity</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Interests</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210"/>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2026</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166,502,052</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217,809,708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$1,642,331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(406,304)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$1,236,041</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$2,506,194</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$3,742,235</w:t>
            </w:r>
          </w:p>
        </w:tc>
        <w:tc>
          <w:tcPr>
            <w:tcW w:w="0" w:type="dxa"/>
            <w:vAlign w:val="bottom"/>
          </w:tcPr>
          <w:p>
            <w:pPr>
              <w:spacing w:after="0"/>
              <w:rPr>
                <w:sz w:val="1"/>
                <w:szCs w:val="1"/>
                <w:color w:val="auto"/>
              </w:rPr>
            </w:pPr>
          </w:p>
        </w:tc>
      </w:tr>
      <w:tr>
        <w:trPr>
          <w:trHeight w:val="213"/>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99,634</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164,211</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263,845</w:t>
            </w:r>
          </w:p>
        </w:tc>
        <w:tc>
          <w:tcPr>
            <w:tcW w:w="0" w:type="dxa"/>
            <w:vAlign w:val="bottom"/>
          </w:tcPr>
          <w:p>
            <w:pPr>
              <w:spacing w:after="0"/>
              <w:rPr>
                <w:sz w:val="1"/>
                <w:szCs w:val="1"/>
                <w:color w:val="auto"/>
              </w:rPr>
            </w:pPr>
          </w:p>
        </w:tc>
      </w:tr>
      <w:tr>
        <w:trPr>
          <w:trHeight w:val="219"/>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Equity-based compensation</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77,915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135,026</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212,941</w:t>
            </w:r>
          </w:p>
        </w:tc>
        <w:tc>
          <w:tcPr>
            <w:tcW w:w="0" w:type="dxa"/>
            <w:vAlign w:val="bottom"/>
          </w:tcPr>
          <w:p>
            <w:pPr>
              <w:spacing w:after="0"/>
              <w:rPr>
                <w:sz w:val="1"/>
                <w:szCs w:val="1"/>
                <w:color w:val="auto"/>
              </w:rPr>
            </w:pPr>
          </w:p>
        </w:tc>
      </w:tr>
      <w:tr>
        <w:trPr>
          <w:trHeight w:val="213"/>
        </w:trPr>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contributions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3,581</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3,581</w:t>
            </w:r>
          </w:p>
        </w:tc>
        <w:tc>
          <w:tcPr>
            <w:tcW w:w="0" w:type="dxa"/>
            <w:vAlign w:val="bottom"/>
          </w:tcPr>
          <w:p>
            <w:pPr>
              <w:spacing w:after="0"/>
              <w:rPr>
                <w:sz w:val="1"/>
                <w:szCs w:val="1"/>
                <w:color w:val="auto"/>
              </w:rPr>
            </w:pPr>
          </w:p>
        </w:tc>
      </w:tr>
      <w:tr>
        <w:trPr>
          <w:trHeight w:val="219"/>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Dividends/distributions</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(106,256)</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(156,463)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(262,719)</w:t>
            </w:r>
          </w:p>
        </w:tc>
        <w:tc>
          <w:tcPr>
            <w:tcW w:w="0" w:type="dxa"/>
            <w:vAlign w:val="bottom"/>
          </w:tcPr>
          <w:p>
            <w:pPr>
              <w:spacing w:after="0"/>
              <w:rPr>
                <w:sz w:val="1"/>
                <w:szCs w:val="1"/>
                <w:color w:val="auto"/>
              </w:rPr>
            </w:pPr>
          </w:p>
        </w:tc>
      </w:tr>
      <w:tr>
        <w:trPr>
          <w:trHeight w:val="162"/>
        </w:trPr>
        <w:tc>
          <w:tcPr>
            <w:tcW w:w="20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Shares issued for net</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settlement of equity-</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236,418</w:t>
            </w:r>
          </w:p>
        </w:tc>
        <w:tc>
          <w:tcPr>
            <w:tcW w:w="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based awards</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4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Withholding taxes paid on</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6"/>
                <w:szCs w:val="16"/>
                <w:color w:val="auto"/>
              </w:rPr>
              <w:t>net settlement of equity-</w:t>
            </w: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(3,434)</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(6,304)</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based awards</w:t>
            </w:r>
          </w:p>
        </w:tc>
        <w:tc>
          <w:tcPr>
            <w:tcW w:w="98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Deferred tax effects for</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Exchange of Common</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Units to TPG Inc. Class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A common stock and</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6,960,798</w:t>
            </w:r>
          </w:p>
        </w:tc>
        <w:tc>
          <w:tcPr>
            <w:tcW w:w="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(6,960,798)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12,999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12,999</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12,999</w:t>
            </w:r>
          </w:p>
        </w:tc>
        <w:tc>
          <w:tcPr>
            <w:tcW w:w="0" w:type="dxa"/>
            <w:vAlign w:val="bottom"/>
          </w:tcPr>
          <w:p>
            <w:pPr>
              <w:spacing w:after="0"/>
              <w:rPr>
                <w:sz w:val="1"/>
                <w:szCs w:val="1"/>
                <w:color w:val="auto"/>
              </w:rPr>
            </w:pPr>
          </w:p>
        </w:tc>
      </w:tr>
      <w:tr>
        <w:trPr>
          <w:trHeight w:val="213"/>
        </w:trPr>
        <w:tc>
          <w:tcPr>
            <w:tcW w:w="2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equity reallocations</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4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Equity reallocation between</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6"/>
                <w:szCs w:val="16"/>
                <w:color w:val="auto"/>
              </w:rPr>
              <w:t>controlling and non-</w:t>
            </w: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34,216</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(34,216)</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controlling interest</w:t>
            </w:r>
          </w:p>
        </w:tc>
        <w:tc>
          <w:tcPr>
            <w:tcW w:w="98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Currency Translation</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0" w:type="dxa"/>
            <w:vAlign w:val="bottom"/>
          </w:tcPr>
          <w:p>
            <w:pPr>
              <w:spacing w:after="0"/>
              <w:rPr>
                <w:sz w:val="1"/>
                <w:szCs w:val="1"/>
                <w:color w:val="auto"/>
              </w:rPr>
            </w:pPr>
          </w:p>
        </w:tc>
      </w:tr>
      <w:tr>
        <w:trPr>
          <w:trHeight w:val="213"/>
        </w:trPr>
        <w:tc>
          <w:tcPr>
            <w:tcW w:w="2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Adjustment</w:t>
            </w: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0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Balance at September 30,</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173,699,268</w:t>
            </w:r>
          </w:p>
        </w:tc>
        <w:tc>
          <w:tcPr>
            <w:tcW w:w="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210,848,910</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1,764,591</w:t>
            </w:r>
          </w:p>
        </w:tc>
        <w:tc>
          <w:tcPr>
            <w:tcW w:w="26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(412,926)</w:t>
            </w:r>
          </w:p>
        </w:tc>
        <w:tc>
          <w:tcPr>
            <w:tcW w:w="8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1,352,004</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2,615,241</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$3,967,245</w:t>
            </w:r>
          </w:p>
        </w:tc>
        <w:tc>
          <w:tcPr>
            <w:tcW w:w="0" w:type="dxa"/>
            <w:vAlign w:val="bottom"/>
          </w:tcPr>
          <w:p>
            <w:pPr>
              <w:spacing w:after="0"/>
              <w:rPr>
                <w:sz w:val="1"/>
                <w:szCs w:val="1"/>
                <w:color w:val="auto"/>
              </w:rPr>
            </w:pPr>
          </w:p>
        </w:tc>
      </w:tr>
      <w:tr>
        <w:trPr>
          <w:trHeight w:val="209"/>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TPG Inc.</w:t>
      </w:r>
    </w:p>
    <w:p>
      <w:pPr>
        <w:ind w:left="2920"/>
        <w:spacing w:after="0" w:line="226" w:lineRule="auto"/>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200" w:lineRule="exact"/>
        <w:rPr>
          <w:sz w:val="20"/>
          <w:szCs w:val="20"/>
          <w:color w:val="auto"/>
        </w:rPr>
      </w:pP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3020" w:type="dxa"/>
            <w:vAlign w:val="bottom"/>
          </w:tcPr>
          <w:p>
            <w:pPr>
              <w:spacing w:after="0"/>
              <w:rPr>
                <w:sz w:val="17"/>
                <w:szCs w:val="17"/>
                <w:color w:val="auto"/>
              </w:rPr>
            </w:pPr>
          </w:p>
        </w:tc>
        <w:tc>
          <w:tcPr>
            <w:tcW w:w="18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Shares of TPG Inc.</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TPG Inc.</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3020" w:type="dxa"/>
            <w:vAlign w:val="bottom"/>
          </w:tcPr>
          <w:p>
            <w:pPr>
              <w:spacing w:after="0"/>
              <w:rPr>
                <w:sz w:val="12"/>
                <w:szCs w:val="12"/>
                <w:color w:val="auto"/>
              </w:rPr>
            </w:pP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Class A</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Class B</w:t>
            </w: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5"/>
                <w:szCs w:val="15"/>
                <w:b w:val="1"/>
                <w:bCs w:val="1"/>
                <w:color w:val="auto"/>
                <w:w w:val="98"/>
              </w:rPr>
              <w:t>Class A</w:t>
            </w: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5"/>
                <w:szCs w:val="15"/>
                <w:b w:val="1"/>
                <w:bCs w:val="1"/>
                <w:color w:val="auto"/>
              </w:rPr>
              <w:t>Class B</w:t>
            </w: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Non-</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Common</w:t>
            </w:r>
          </w:p>
        </w:tc>
        <w:tc>
          <w:tcPr>
            <w:tcW w:w="8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Common</w:t>
            </w:r>
          </w:p>
        </w:tc>
        <w:tc>
          <w:tcPr>
            <w:tcW w:w="900" w:type="dxa"/>
            <w:vAlign w:val="bottom"/>
            <w:gridSpan w:val="2"/>
            <w:vMerge w:val="continue"/>
          </w:tcPr>
          <w:p>
            <w:pPr>
              <w:spacing w:after="0"/>
              <w:rPr>
                <w:sz w:val="12"/>
                <w:szCs w:val="12"/>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9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Total TPG</w:t>
            </w:r>
          </w:p>
        </w:tc>
        <w:tc>
          <w:tcPr>
            <w:tcW w:w="900" w:type="dxa"/>
            <w:vAlign w:val="bottom"/>
            <w:gridSpan w:val="2"/>
            <w:vMerge w:val="continue"/>
          </w:tcPr>
          <w:p>
            <w:pPr>
              <w:spacing w:after="0"/>
              <w:rPr>
                <w:sz w:val="12"/>
                <w:szCs w:val="12"/>
                <w:color w:val="auto"/>
              </w:rPr>
            </w:pPr>
          </w:p>
        </w:tc>
        <w:tc>
          <w:tcPr>
            <w:tcW w:w="820" w:type="dxa"/>
            <w:vAlign w:val="bottom"/>
            <w:vMerge w:val="restart"/>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Common</w:t>
            </w: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Common</w:t>
            </w: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Stock, at</w:t>
            </w: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Stock, at</w:t>
            </w: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5"/>
                <w:szCs w:val="15"/>
                <w:b w:val="1"/>
                <w:bCs w:val="1"/>
                <w:color w:val="auto"/>
              </w:rPr>
              <w:t>Paid-In</w:t>
            </w:r>
          </w:p>
        </w:tc>
        <w:tc>
          <w:tcPr>
            <w:tcW w:w="100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Controlling</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02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par value</w:t>
            </w: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par value</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8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Inc. Equity</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Interests</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213"/>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144,596,915</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224,858,284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$1,258,871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(267,366)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991,875</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$2,567,581</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$3,559,456</w:t>
            </w:r>
          </w:p>
        </w:tc>
        <w:tc>
          <w:tcPr>
            <w:tcW w:w="0" w:type="dxa"/>
            <w:vAlign w:val="bottom"/>
          </w:tcPr>
          <w:p>
            <w:pPr>
              <w:spacing w:after="0"/>
              <w:rPr>
                <w:sz w:val="1"/>
                <w:szCs w:val="1"/>
                <w:color w:val="auto"/>
              </w:rPr>
            </w:pPr>
          </w:p>
        </w:tc>
      </w:tr>
      <w:tr>
        <w:trPr>
          <w:trHeight w:val="213"/>
        </w:trPr>
        <w:tc>
          <w:tcPr>
            <w:tcW w:w="3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67,140</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132,090</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199,230</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Equity-based compensation</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68,596</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167,073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235,669</w:t>
            </w:r>
          </w:p>
        </w:tc>
        <w:tc>
          <w:tcPr>
            <w:tcW w:w="0" w:type="dxa"/>
            <w:vAlign w:val="bottom"/>
          </w:tcPr>
          <w:p>
            <w:pPr>
              <w:spacing w:after="0"/>
              <w:rPr>
                <w:sz w:val="1"/>
                <w:szCs w:val="1"/>
                <w:color w:val="auto"/>
              </w:rPr>
            </w:pPr>
          </w:p>
        </w:tc>
      </w:tr>
      <w:tr>
        <w:trPr>
          <w:trHeight w:val="213"/>
        </w:trPr>
        <w:tc>
          <w:tcPr>
            <w:tcW w:w="3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contributions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105,180</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105,180</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Dividends/distributions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(94,213)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(94,213)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(424,378)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(518,591)</w:t>
            </w:r>
          </w:p>
        </w:tc>
        <w:tc>
          <w:tcPr>
            <w:tcW w:w="0" w:type="dxa"/>
            <w:vAlign w:val="bottom"/>
          </w:tcPr>
          <w:p>
            <w:pPr>
              <w:spacing w:after="0"/>
              <w:rPr>
                <w:sz w:val="1"/>
                <w:szCs w:val="1"/>
                <w:color w:val="auto"/>
              </w:rPr>
            </w:pPr>
          </w:p>
        </w:tc>
      </w:tr>
      <w:tr>
        <w:trPr>
          <w:trHeight w:val="162"/>
        </w:trPr>
        <w:tc>
          <w:tcPr>
            <w:tcW w:w="30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Shares issued for net settlement of equity-</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143,599</w:t>
            </w:r>
          </w:p>
        </w:tc>
        <w:tc>
          <w:tcPr>
            <w:tcW w:w="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based awards</w:t>
            </w: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2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Withholding taxes paid on net settlement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of equity-based awards</w:t>
            </w:r>
          </w:p>
        </w:tc>
        <w:tc>
          <w:tcPr>
            <w:tcW w:w="96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Exchange of Common Units to TPG Inc.</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Class A Common stock and related</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5,153,040</w:t>
            </w:r>
          </w:p>
        </w:tc>
        <w:tc>
          <w:tcPr>
            <w:tcW w:w="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(5,153,040)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8,954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8,954</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8,954</w:t>
            </w:r>
          </w:p>
        </w:tc>
        <w:tc>
          <w:tcPr>
            <w:tcW w:w="0" w:type="dxa"/>
            <w:vAlign w:val="bottom"/>
          </w:tcPr>
          <w:p>
            <w:pPr>
              <w:spacing w:after="0"/>
              <w:rPr>
                <w:sz w:val="1"/>
                <w:szCs w:val="1"/>
                <w:color w:val="auto"/>
              </w:rPr>
            </w:pPr>
          </w:p>
        </w:tc>
      </w:tr>
      <w:tr>
        <w:trPr>
          <w:trHeight w:val="213"/>
        </w:trPr>
        <w:tc>
          <w:tcPr>
            <w:tcW w:w="3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tax effects</w:t>
            </w: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2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Equity reallocation between controlling</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(51,509)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(51,509)</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51,509</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and non-controlling interest</w:t>
            </w:r>
          </w:p>
        </w:tc>
        <w:tc>
          <w:tcPr>
            <w:tcW w:w="96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Deconsolidation of previously</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(25,607)</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(25,607)</w:t>
            </w:r>
          </w:p>
        </w:tc>
        <w:tc>
          <w:tcPr>
            <w:tcW w:w="0" w:type="dxa"/>
            <w:vAlign w:val="bottom"/>
          </w:tcPr>
          <w:p>
            <w:pPr>
              <w:spacing w:after="0"/>
              <w:rPr>
                <w:sz w:val="1"/>
                <w:szCs w:val="1"/>
                <w:color w:val="auto"/>
              </w:rPr>
            </w:pPr>
          </w:p>
        </w:tc>
      </w:tr>
      <w:tr>
        <w:trPr>
          <w:trHeight w:val="213"/>
        </w:trPr>
        <w:tc>
          <w:tcPr>
            <w:tcW w:w="30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consolidated entities</w:t>
            </w:r>
          </w:p>
        </w:tc>
        <w:tc>
          <w:tcPr>
            <w:tcW w:w="96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Acquisition of Peppertree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2,913,939</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5,372,330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153,973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57,751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211,724</w:t>
            </w:r>
          </w:p>
        </w:tc>
        <w:tc>
          <w:tcPr>
            <w:tcW w:w="0" w:type="dxa"/>
            <w:vAlign w:val="bottom"/>
          </w:tcPr>
          <w:p>
            <w:pPr>
              <w:spacing w:after="0"/>
              <w:rPr>
                <w:sz w:val="1"/>
                <w:szCs w:val="1"/>
                <w:color w:val="auto"/>
              </w:rPr>
            </w:pPr>
          </w:p>
        </w:tc>
      </w:tr>
      <w:tr>
        <w:trPr>
          <w:trHeight w:val="213"/>
        </w:trPr>
        <w:tc>
          <w:tcPr>
            <w:tcW w:w="3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retired</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2025</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152,807,493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224,965,710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1,437,586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(294,439)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1,143,525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2,629,631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$3,773,156</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20" w:type="dxa"/>
            <w:vAlign w:val="bottom"/>
          </w:tcPr>
          <w:p>
            <w:pPr>
              <w:spacing w:after="0"/>
              <w:rPr>
                <w:sz w:val="17"/>
                <w:szCs w:val="17"/>
                <w:color w:val="auto"/>
              </w:rPr>
            </w:pPr>
          </w:p>
        </w:tc>
        <w:tc>
          <w:tcPr>
            <w:tcW w:w="188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Shares of TPG Inc.</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5"/>
                <w:szCs w:val="15"/>
                <w:b w:val="1"/>
                <w:bCs w:val="1"/>
                <w:color w:val="auto"/>
              </w:rPr>
              <w:t>TPG Inc.</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120" w:type="dxa"/>
            <w:vAlign w:val="bottom"/>
          </w:tcPr>
          <w:p>
            <w:pPr>
              <w:spacing w:after="0"/>
              <w:rPr>
                <w:sz w:val="12"/>
                <w:szCs w:val="12"/>
                <w:color w:val="auto"/>
              </w:rPr>
            </w:pP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Class A</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Class B</w:t>
            </w:r>
          </w:p>
        </w:tc>
        <w:tc>
          <w:tcPr>
            <w:tcW w:w="740" w:type="dxa"/>
            <w:vAlign w:val="bottom"/>
            <w:gridSpan w:val="3"/>
          </w:tcPr>
          <w:p>
            <w:pPr>
              <w:ind w:left="80"/>
              <w:spacing w:after="0" w:line="146" w:lineRule="exact"/>
              <w:rPr>
                <w:sz w:val="20"/>
                <w:szCs w:val="20"/>
                <w:color w:val="auto"/>
              </w:rPr>
            </w:pPr>
            <w:r>
              <w:rPr>
                <w:rFonts w:ascii="Times New Roman" w:cs="Times New Roman" w:eastAsia="Times New Roman" w:hAnsi="Times New Roman"/>
                <w:sz w:val="15"/>
                <w:szCs w:val="15"/>
                <w:b w:val="1"/>
                <w:bCs w:val="1"/>
                <w:color w:val="auto"/>
              </w:rPr>
              <w:t>Class A</w:t>
            </w:r>
          </w:p>
        </w:tc>
        <w:tc>
          <w:tcPr>
            <w:tcW w:w="760" w:type="dxa"/>
            <w:vAlign w:val="bottom"/>
            <w:gridSpan w:val="3"/>
          </w:tcPr>
          <w:p>
            <w:pPr>
              <w:ind w:left="100"/>
              <w:spacing w:after="0" w:line="146" w:lineRule="exact"/>
              <w:rPr>
                <w:sz w:val="20"/>
                <w:szCs w:val="20"/>
                <w:color w:val="auto"/>
              </w:rPr>
            </w:pPr>
            <w:r>
              <w:rPr>
                <w:rFonts w:ascii="Times New Roman" w:cs="Times New Roman" w:eastAsia="Times New Roman" w:hAnsi="Times New Roman"/>
                <w:sz w:val="15"/>
                <w:szCs w:val="15"/>
                <w:b w:val="1"/>
                <w:bCs w:val="1"/>
                <w:color w:val="auto"/>
              </w:rPr>
              <w:t>Class B</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Non-</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5"/>
                <w:szCs w:val="15"/>
                <w:b w:val="1"/>
                <w:bCs w:val="1"/>
                <w:color w:val="auto"/>
              </w:rPr>
              <w:t>Common</w:t>
            </w:r>
          </w:p>
        </w:tc>
        <w:tc>
          <w:tcPr>
            <w:tcW w:w="7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5"/>
                <w:szCs w:val="15"/>
                <w:b w:val="1"/>
                <w:bCs w:val="1"/>
                <w:color w:val="auto"/>
              </w:rPr>
              <w:t>Common</w:t>
            </w: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5"/>
                <w:szCs w:val="15"/>
                <w:b w:val="1"/>
                <w:bCs w:val="1"/>
                <w:color w:val="auto"/>
              </w:rPr>
              <w:t>Other</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98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Common</w:t>
            </w:r>
          </w:p>
        </w:tc>
        <w:tc>
          <w:tcPr>
            <w:tcW w:w="9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Common</w:t>
            </w:r>
          </w:p>
        </w:tc>
        <w:tc>
          <w:tcPr>
            <w:tcW w:w="74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5"/>
                <w:szCs w:val="15"/>
                <w:b w:val="1"/>
                <w:bCs w:val="1"/>
                <w:color w:val="auto"/>
              </w:rPr>
              <w:t>Stock, at</w:t>
            </w:r>
          </w:p>
        </w:tc>
        <w:tc>
          <w:tcPr>
            <w:tcW w:w="760" w:type="dxa"/>
            <w:vAlign w:val="bottom"/>
            <w:gridSpan w:val="3"/>
          </w:tcPr>
          <w:p>
            <w:pPr>
              <w:ind w:left="60"/>
              <w:spacing w:after="0" w:line="162" w:lineRule="exact"/>
              <w:rPr>
                <w:sz w:val="20"/>
                <w:szCs w:val="20"/>
                <w:color w:val="auto"/>
              </w:rPr>
            </w:pPr>
            <w:r>
              <w:rPr>
                <w:rFonts w:ascii="Times New Roman" w:cs="Times New Roman" w:eastAsia="Times New Roman" w:hAnsi="Times New Roman"/>
                <w:sz w:val="15"/>
                <w:szCs w:val="15"/>
                <w:b w:val="1"/>
                <w:bCs w:val="1"/>
                <w:color w:val="auto"/>
              </w:rPr>
              <w:t>Stock, at</w:t>
            </w:r>
          </w:p>
        </w:tc>
        <w:tc>
          <w:tcPr>
            <w:tcW w:w="820" w:type="dxa"/>
            <w:vAlign w:val="bottom"/>
          </w:tcPr>
          <w:p>
            <w:pPr>
              <w:jc w:val="right"/>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Paid-In</w:t>
            </w:r>
          </w:p>
        </w:tc>
        <w:tc>
          <w:tcPr>
            <w:tcW w:w="80" w:type="dxa"/>
            <w:vAlign w:val="bottom"/>
          </w:tcPr>
          <w:p>
            <w:pPr>
              <w:spacing w:after="0"/>
              <w:rPr>
                <w:sz w:val="14"/>
                <w:szCs w:val="14"/>
                <w:color w:val="auto"/>
              </w:rPr>
            </w:pPr>
          </w:p>
        </w:tc>
        <w:tc>
          <w:tcPr>
            <w:tcW w:w="100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1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5"/>
                <w:szCs w:val="15"/>
                <w:b w:val="1"/>
                <w:bCs w:val="1"/>
                <w:color w:val="auto"/>
                <w:w w:val="99"/>
              </w:rPr>
              <w:t>Comprehensive</w:t>
            </w:r>
          </w:p>
        </w:tc>
        <w:tc>
          <w:tcPr>
            <w:tcW w:w="92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5"/>
                <w:szCs w:val="15"/>
                <w:b w:val="1"/>
                <w:bCs w:val="1"/>
                <w:color w:val="auto"/>
              </w:rPr>
              <w:t>Total TPG</w:t>
            </w:r>
          </w:p>
        </w:tc>
        <w:tc>
          <w:tcPr>
            <w:tcW w:w="9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Controlling</w:t>
            </w:r>
          </w:p>
        </w:tc>
        <w:tc>
          <w:tcPr>
            <w:tcW w:w="820" w:type="dxa"/>
            <w:vAlign w:val="bottom"/>
          </w:tcPr>
          <w:p>
            <w:pPr>
              <w:jc w:val="right"/>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2"/>
        </w:trPr>
        <w:tc>
          <w:tcPr>
            <w:tcW w:w="2120" w:type="dxa"/>
            <w:vAlign w:val="bottom"/>
          </w:tcPr>
          <w:p>
            <w:pPr>
              <w:spacing w:after="0"/>
              <w:rPr>
                <w:sz w:val="17"/>
                <w:szCs w:val="17"/>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par value</w:t>
            </w: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par value</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Income (Loss)</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Inc. Equity</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Interests</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210"/>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153,113,961</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224,331,812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$1,476,444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(291,604)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center"/>
              <w:ind w:left="47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$1,185,217</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$2,951,158</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$4,136,375</w:t>
            </w:r>
          </w:p>
        </w:tc>
        <w:tc>
          <w:tcPr>
            <w:tcW w:w="0" w:type="dxa"/>
            <w:vAlign w:val="bottom"/>
          </w:tcPr>
          <w:p>
            <w:pPr>
              <w:spacing w:after="0"/>
              <w:rPr>
                <w:sz w:val="1"/>
                <w:szCs w:val="1"/>
                <w:color w:val="auto"/>
              </w:rPr>
            </w:pPr>
          </w:p>
        </w:tc>
      </w:tr>
      <w:tr>
        <w:trPr>
          <w:trHeight w:val="213"/>
        </w:trPr>
        <w:tc>
          <w:tcPr>
            <w:tcW w:w="2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center"/>
              <w:ind w:left="3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191,607</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268,635</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460,242</w:t>
            </w:r>
          </w:p>
        </w:tc>
        <w:tc>
          <w:tcPr>
            <w:tcW w:w="0" w:type="dxa"/>
            <w:vAlign w:val="bottom"/>
          </w:tcPr>
          <w:p>
            <w:pPr>
              <w:spacing w:after="0"/>
              <w:rPr>
                <w:sz w:val="1"/>
                <w:szCs w:val="1"/>
                <w:color w:val="auto"/>
              </w:rPr>
            </w:pPr>
          </w:p>
        </w:tc>
      </w:tr>
      <w:tr>
        <w:trPr>
          <w:trHeight w:val="219"/>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Equity-based compensation</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229,387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3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229,387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446,982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676,369</w:t>
            </w:r>
          </w:p>
        </w:tc>
        <w:tc>
          <w:tcPr>
            <w:tcW w:w="0" w:type="dxa"/>
            <w:vAlign w:val="bottom"/>
          </w:tcPr>
          <w:p>
            <w:pPr>
              <w:spacing w:after="0"/>
              <w:rPr>
                <w:sz w:val="1"/>
                <w:szCs w:val="1"/>
                <w:color w:val="auto"/>
              </w:rPr>
            </w:pPr>
          </w:p>
        </w:tc>
      </w:tr>
      <w:tr>
        <w:trPr>
          <w:trHeight w:val="213"/>
        </w:trPr>
        <w:tc>
          <w:tcPr>
            <w:tcW w:w="2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contributions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gridSpan w:val="2"/>
          </w:tcPr>
          <w:p>
            <w:pPr>
              <w:jc w:val="center"/>
              <w:ind w:left="3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449,548</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449,548</w:t>
            </w:r>
          </w:p>
        </w:tc>
        <w:tc>
          <w:tcPr>
            <w:tcW w:w="0" w:type="dxa"/>
            <w:vAlign w:val="bottom"/>
          </w:tcPr>
          <w:p>
            <w:pPr>
              <w:spacing w:after="0"/>
              <w:rPr>
                <w:sz w:val="1"/>
                <w:szCs w:val="1"/>
                <w:color w:val="auto"/>
              </w:rPr>
            </w:pPr>
          </w:p>
        </w:tc>
      </w:tr>
      <w:tr>
        <w:trPr>
          <w:trHeight w:val="219"/>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Dividends/distributions</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(312,929)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3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(312,929)</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(556,841)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(869,770)</w:t>
            </w:r>
          </w:p>
        </w:tc>
        <w:tc>
          <w:tcPr>
            <w:tcW w:w="0" w:type="dxa"/>
            <w:vAlign w:val="bottom"/>
          </w:tcPr>
          <w:p>
            <w:pPr>
              <w:spacing w:after="0"/>
              <w:rPr>
                <w:sz w:val="1"/>
                <w:szCs w:val="1"/>
                <w:color w:val="auto"/>
              </w:rPr>
            </w:pPr>
          </w:p>
        </w:tc>
      </w:tr>
      <w:tr>
        <w:trPr>
          <w:trHeight w:val="162"/>
        </w:trPr>
        <w:tc>
          <w:tcPr>
            <w:tcW w:w="21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Shares issued for net</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settlement of equity-based</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5,304,050</w:t>
            </w:r>
          </w:p>
        </w:tc>
        <w:tc>
          <w:tcPr>
            <w:tcW w:w="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20" w:type="dxa"/>
            <w:vAlign w:val="bottom"/>
            <w:gridSpan w:val="2"/>
            <w:vMerge w:val="restart"/>
          </w:tcPr>
          <w:p>
            <w:pPr>
              <w:jc w:val="center"/>
              <w:ind w:left="3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awards</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12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Withholding taxes paid on</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6"/>
                <w:szCs w:val="16"/>
                <w:color w:val="auto"/>
              </w:rPr>
              <w:t>net settlement of equity-</w:t>
            </w: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(98,508)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center"/>
              <w:ind w:left="3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(98,508)</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(118,774)</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(217,282)</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based awards</w:t>
            </w:r>
          </w:p>
        </w:tc>
        <w:tc>
          <w:tcPr>
            <w:tcW w:w="98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Deferred tax effects for</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Exchange of Common</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Units to TPG Inc. Class A</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common stock and other</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13,003,417</w:t>
            </w:r>
          </w:p>
        </w:tc>
        <w:tc>
          <w:tcPr>
            <w:tcW w:w="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(13,003,417)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23,519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20" w:type="dxa"/>
            <w:vAlign w:val="bottom"/>
            <w:gridSpan w:val="2"/>
            <w:vMerge w:val="restart"/>
          </w:tcPr>
          <w:p>
            <w:pPr>
              <w:jc w:val="center"/>
              <w:ind w:left="3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23,519</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23,519</w:t>
            </w:r>
          </w:p>
        </w:tc>
        <w:tc>
          <w:tcPr>
            <w:tcW w:w="0" w:type="dxa"/>
            <w:vAlign w:val="bottom"/>
          </w:tcPr>
          <w:p>
            <w:pPr>
              <w:spacing w:after="0"/>
              <w:rPr>
                <w:sz w:val="1"/>
                <w:szCs w:val="1"/>
                <w:color w:val="auto"/>
              </w:rPr>
            </w:pPr>
          </w:p>
        </w:tc>
      </w:tr>
      <w:tr>
        <w:trPr>
          <w:trHeight w:val="213"/>
        </w:trPr>
        <w:tc>
          <w:tcPr>
            <w:tcW w:w="2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equity reallocations</w:t>
            </w: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12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Deconsolidation of</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6"/>
                <w:szCs w:val="16"/>
                <w:color w:val="auto"/>
              </w:rPr>
              <w:t>previously consolidated</w:t>
            </w: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center"/>
              <w:ind w:left="3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(804,839)</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(804,839)</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entities</w:t>
            </w:r>
          </w:p>
        </w:tc>
        <w:tc>
          <w:tcPr>
            <w:tcW w:w="98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Equity reallocation between</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controlling and non-</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82,459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20" w:type="dxa"/>
            <w:vAlign w:val="bottom"/>
            <w:gridSpan w:val="2"/>
            <w:vMerge w:val="restart"/>
          </w:tcPr>
          <w:p>
            <w:pPr>
              <w:jc w:val="center"/>
              <w:ind w:left="3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82,459</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(82,459)</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controlling interest</w:t>
            </w:r>
          </w:p>
        </w:tc>
        <w:tc>
          <w:tcPr>
            <w:tcW w:w="98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12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Shares issued in connection</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2,279,109</w:t>
            </w:r>
          </w:p>
        </w:tc>
        <w:tc>
          <w:tcPr>
            <w:tcW w:w="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51,295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center"/>
              <w:ind w:left="3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51,297</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61,906</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113,203</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with Jackson Transaction</w:t>
            </w: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1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Currency Translation</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40" w:type="dxa"/>
            <w:vAlign w:val="bottom"/>
            <w:vMerge w:val="restart"/>
          </w:tcPr>
          <w:p>
            <w:pPr>
              <w:jc w:val="center"/>
              <w:ind w:left="439"/>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13"/>
        </w:trPr>
        <w:tc>
          <w:tcPr>
            <w:tcW w:w="21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Adjustment</w:t>
            </w:r>
          </w:p>
        </w:tc>
        <w:tc>
          <w:tcPr>
            <w:tcW w:w="98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retired</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(479,485)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47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2"/>
        </w:trPr>
        <w:tc>
          <w:tcPr>
            <w:tcW w:w="2120" w:type="dxa"/>
            <w:vAlign w:val="bottom"/>
          </w:tcPr>
          <w:p>
            <w:pPr>
              <w:ind w:left="180"/>
              <w:spacing w:after="0" w:line="142" w:lineRule="exact"/>
              <w:rPr>
                <w:sz w:val="20"/>
                <w:szCs w:val="20"/>
                <w:color w:val="auto"/>
              </w:rPr>
            </w:pPr>
            <w:r>
              <w:rPr>
                <w:rFonts w:ascii="Times New Roman" w:cs="Times New Roman" w:eastAsia="Times New Roman" w:hAnsi="Times New Roman"/>
                <w:sz w:val="16"/>
                <w:szCs w:val="16"/>
                <w:b w:val="1"/>
                <w:bCs w:val="1"/>
                <w:color w:val="auto"/>
              </w:rPr>
              <w:t>Balance at September 30,</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173,699,268</w:t>
            </w: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210,848,910</w:t>
            </w:r>
          </w:p>
        </w:tc>
        <w:tc>
          <w:tcPr>
            <w:tcW w:w="80" w:type="dxa"/>
            <w:vAlign w:val="bottom"/>
          </w:tcPr>
          <w:p>
            <w:pPr>
              <w:spacing w:after="0"/>
              <w:rPr>
                <w:sz w:val="12"/>
                <w:szCs w:val="12"/>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tcPr>
          <w:p>
            <w:pPr>
              <w:spacing w:after="0"/>
              <w:rPr>
                <w:sz w:val="12"/>
                <w:szCs w:val="12"/>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1,764,591</w:t>
            </w:r>
          </w:p>
        </w:tc>
        <w:tc>
          <w:tcPr>
            <w:tcW w:w="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(412,926)</w:t>
            </w:r>
          </w:p>
        </w:tc>
        <w:tc>
          <w:tcPr>
            <w:tcW w:w="80" w:type="dxa"/>
            <w:vAlign w:val="bottom"/>
          </w:tcPr>
          <w:p>
            <w:pPr>
              <w:spacing w:after="0"/>
              <w:rPr>
                <w:sz w:val="12"/>
                <w:szCs w:val="12"/>
                <w:color w:val="auto"/>
              </w:rPr>
            </w:pPr>
          </w:p>
        </w:tc>
        <w:tc>
          <w:tcPr>
            <w:tcW w:w="20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jc w:val="center"/>
              <w:ind w:left="439"/>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1,352,004</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2,615,241</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$3,967,245</w:t>
            </w:r>
          </w:p>
        </w:tc>
        <w:tc>
          <w:tcPr>
            <w:tcW w:w="0" w:type="dxa"/>
            <w:vAlign w:val="bottom"/>
          </w:tcPr>
          <w:p>
            <w:pPr>
              <w:spacing w:after="0"/>
              <w:rPr>
                <w:sz w:val="1"/>
                <w:szCs w:val="1"/>
                <w:color w:val="auto"/>
              </w:rPr>
            </w:pPr>
          </w:p>
        </w:tc>
      </w:tr>
      <w:tr>
        <w:trPr>
          <w:trHeight w:val="189"/>
        </w:trPr>
        <w:tc>
          <w:tcPr>
            <w:tcW w:w="21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2026</w:t>
            </w: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TPG Inc.</w:t>
      </w:r>
    </w:p>
    <w:p>
      <w:pPr>
        <w:jc w:val="center"/>
        <w:ind w:right="-19"/>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2980" w:type="dxa"/>
            <w:vAlign w:val="bottom"/>
          </w:tcPr>
          <w:p>
            <w:pPr>
              <w:spacing w:after="0"/>
              <w:rPr>
                <w:sz w:val="17"/>
                <w:szCs w:val="17"/>
                <w:color w:val="auto"/>
              </w:rPr>
            </w:pPr>
          </w:p>
        </w:tc>
        <w:tc>
          <w:tcPr>
            <w:tcW w:w="18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Shares of TPG Inc.</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TPG Inc.</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980" w:type="dxa"/>
            <w:vAlign w:val="bottom"/>
          </w:tcPr>
          <w:p>
            <w:pPr>
              <w:spacing w:after="0"/>
              <w:rPr>
                <w:sz w:val="12"/>
                <w:szCs w:val="12"/>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Class A</w:t>
            </w: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Class B</w:t>
            </w: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5"/>
                <w:szCs w:val="15"/>
                <w:b w:val="1"/>
                <w:bCs w:val="1"/>
                <w:color w:val="auto"/>
              </w:rPr>
              <w:t>Class A</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5"/>
                <w:szCs w:val="15"/>
                <w:b w:val="1"/>
                <w:bCs w:val="1"/>
                <w:color w:val="auto"/>
              </w:rPr>
              <w:t>Class B</w:t>
            </w:r>
          </w:p>
        </w:tc>
        <w:tc>
          <w:tcPr>
            <w:tcW w:w="9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Non-</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Common</w:t>
            </w:r>
          </w:p>
        </w:tc>
        <w:tc>
          <w:tcPr>
            <w:tcW w:w="8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Common</w:t>
            </w:r>
          </w:p>
        </w:tc>
        <w:tc>
          <w:tcPr>
            <w:tcW w:w="9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9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Common</w:t>
            </w:r>
          </w:p>
        </w:tc>
        <w:tc>
          <w:tcPr>
            <w:tcW w:w="9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Common</w:t>
            </w:r>
          </w:p>
        </w:tc>
        <w:tc>
          <w:tcPr>
            <w:tcW w:w="100" w:type="dxa"/>
            <w:vAlign w:val="bottom"/>
          </w:tcPr>
          <w:p>
            <w:pPr>
              <w:spacing w:after="0"/>
              <w:rPr>
                <w:sz w:val="14"/>
                <w:szCs w:val="14"/>
                <w:color w:val="auto"/>
              </w:rPr>
            </w:pPr>
          </w:p>
        </w:tc>
        <w:tc>
          <w:tcPr>
            <w:tcW w:w="7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5"/>
                <w:szCs w:val="15"/>
                <w:b w:val="1"/>
                <w:bCs w:val="1"/>
                <w:color w:val="auto"/>
              </w:rPr>
              <w:t>Stock, at</w:t>
            </w:r>
          </w:p>
        </w:tc>
        <w:tc>
          <w:tcPr>
            <w:tcW w:w="100" w:type="dxa"/>
            <w:vAlign w:val="bottom"/>
          </w:tcPr>
          <w:p>
            <w:pPr>
              <w:spacing w:after="0"/>
              <w:rPr>
                <w:sz w:val="14"/>
                <w:szCs w:val="14"/>
                <w:color w:val="auto"/>
              </w:rPr>
            </w:pPr>
          </w:p>
        </w:tc>
        <w:tc>
          <w:tcPr>
            <w:tcW w:w="7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Stock, at</w:t>
            </w:r>
          </w:p>
        </w:tc>
        <w:tc>
          <w:tcPr>
            <w:tcW w:w="80" w:type="dxa"/>
            <w:vAlign w:val="bottom"/>
          </w:tcPr>
          <w:p>
            <w:pPr>
              <w:spacing w:after="0"/>
              <w:rPr>
                <w:sz w:val="14"/>
                <w:szCs w:val="14"/>
                <w:color w:val="auto"/>
              </w:rPr>
            </w:pPr>
          </w:p>
        </w:tc>
        <w:tc>
          <w:tcPr>
            <w:tcW w:w="8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Paid-In</w:t>
            </w:r>
          </w:p>
        </w:tc>
        <w:tc>
          <w:tcPr>
            <w:tcW w:w="980" w:type="dxa"/>
            <w:vAlign w:val="bottom"/>
            <w:gridSpan w:val="3"/>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90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5"/>
                <w:szCs w:val="15"/>
                <w:b w:val="1"/>
                <w:bCs w:val="1"/>
                <w:color w:val="auto"/>
              </w:rPr>
              <w:t>Total TPG</w:t>
            </w:r>
          </w:p>
        </w:tc>
        <w:tc>
          <w:tcPr>
            <w:tcW w:w="92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Controlling</w:t>
            </w:r>
          </w:p>
        </w:tc>
        <w:tc>
          <w:tcPr>
            <w:tcW w:w="820" w:type="dxa"/>
            <w:vAlign w:val="bottom"/>
          </w:tcPr>
          <w:p>
            <w:pPr>
              <w:jc w:val="right"/>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2"/>
        </w:trPr>
        <w:tc>
          <w:tcPr>
            <w:tcW w:w="298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Stock</w:t>
            </w: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par value</w:t>
            </w: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par value</w:t>
            </w:r>
          </w:p>
        </w:tc>
        <w:tc>
          <w:tcPr>
            <w:tcW w:w="80" w:type="dxa"/>
            <w:vAlign w:val="bottom"/>
          </w:tcPr>
          <w:p>
            <w:pPr>
              <w:spacing w:after="0"/>
              <w:rPr>
                <w:sz w:val="17"/>
                <w:szCs w:val="17"/>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6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Inc. Equity</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Interests</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109,211,355</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255,756,502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970,719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(186,983)</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784,101</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$ 2,807,888</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$3,591,989</w:t>
            </w:r>
          </w:p>
        </w:tc>
        <w:tc>
          <w:tcPr>
            <w:tcW w:w="0" w:type="dxa"/>
            <w:vAlign w:val="bottom"/>
          </w:tcPr>
          <w:p>
            <w:pPr>
              <w:spacing w:after="0"/>
              <w:rPr>
                <w:sz w:val="1"/>
                <w:szCs w:val="1"/>
                <w:color w:val="auto"/>
              </w:rPr>
            </w:pPr>
          </w:p>
        </w:tc>
      </w:tr>
      <w:tr>
        <w:trPr>
          <w:trHeight w:val="213"/>
        </w:trPr>
        <w:tc>
          <w:tcPr>
            <w:tcW w:w="2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107,474</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107,474</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209,695</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317,169</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Equity-based compensation</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179,174</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461,371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640,545</w:t>
            </w:r>
          </w:p>
        </w:tc>
        <w:tc>
          <w:tcPr>
            <w:tcW w:w="0" w:type="dxa"/>
            <w:vAlign w:val="bottom"/>
          </w:tcPr>
          <w:p>
            <w:pPr>
              <w:spacing w:after="0"/>
              <w:rPr>
                <w:sz w:val="1"/>
                <w:szCs w:val="1"/>
                <w:color w:val="auto"/>
              </w:rPr>
            </w:pPr>
          </w:p>
        </w:tc>
      </w:tr>
      <w:tr>
        <w:trPr>
          <w:trHeight w:val="213"/>
        </w:trPr>
        <w:tc>
          <w:tcPr>
            <w:tcW w:w="2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Capital contributions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266,345</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266,345</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Dividends/distributions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(214,930)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(214,930)</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(864,994)</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(1,079,924)</w:t>
            </w:r>
          </w:p>
        </w:tc>
        <w:tc>
          <w:tcPr>
            <w:tcW w:w="0" w:type="dxa"/>
            <w:vAlign w:val="bottom"/>
          </w:tcPr>
          <w:p>
            <w:pPr>
              <w:spacing w:after="0"/>
              <w:rPr>
                <w:sz w:val="1"/>
                <w:szCs w:val="1"/>
                <w:color w:val="auto"/>
              </w:rPr>
            </w:pPr>
          </w:p>
        </w:tc>
      </w:tr>
      <w:tr>
        <w:trPr>
          <w:trHeight w:val="162"/>
        </w:trPr>
        <w:tc>
          <w:tcPr>
            <w:tcW w:w="298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Shares issued for net settlement of equity-</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4,742,805</w:t>
            </w:r>
          </w:p>
        </w:tc>
        <w:tc>
          <w:tcPr>
            <w:tcW w:w="1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based awards</w:t>
            </w: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980" w:type="dxa"/>
            <w:vAlign w:val="bottom"/>
            <w:shd w:val="clear" w:color="auto" w:fill="CCEEFF"/>
          </w:tcPr>
          <w:p>
            <w:pPr>
              <w:ind w:left="160"/>
              <w:spacing w:after="0" w:line="165" w:lineRule="exact"/>
              <w:rPr>
                <w:sz w:val="20"/>
                <w:szCs w:val="20"/>
                <w:color w:val="auto"/>
              </w:rPr>
            </w:pPr>
            <w:r>
              <w:rPr>
                <w:rFonts w:ascii="Times New Roman" w:cs="Times New Roman" w:eastAsia="Times New Roman" w:hAnsi="Times New Roman"/>
                <w:sz w:val="16"/>
                <w:szCs w:val="16"/>
                <w:color w:val="auto"/>
              </w:rPr>
              <w:t>Withholding taxes paid on net settlement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(68,485)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(68,485)</w:t>
            </w:r>
          </w:p>
        </w:tc>
        <w:tc>
          <w:tcPr>
            <w:tcW w:w="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(116,077)</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(184,562)</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of equity-based awards</w:t>
            </w:r>
          </w:p>
        </w:tc>
        <w:tc>
          <w:tcPr>
            <w:tcW w:w="98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8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Exchange of Common Units to TPG Inc.</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8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Class A Common stock and related</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35,939,394</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(35,939,394)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55,684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55,684</w:t>
            </w:r>
          </w:p>
        </w:tc>
        <w:tc>
          <w:tcPr>
            <w:tcW w:w="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55,684</w:t>
            </w:r>
          </w:p>
        </w:tc>
        <w:tc>
          <w:tcPr>
            <w:tcW w:w="0" w:type="dxa"/>
            <w:vAlign w:val="bottom"/>
          </w:tcPr>
          <w:p>
            <w:pPr>
              <w:spacing w:after="0"/>
              <w:rPr>
                <w:sz w:val="1"/>
                <w:szCs w:val="1"/>
                <w:color w:val="auto"/>
              </w:rPr>
            </w:pPr>
          </w:p>
        </w:tc>
      </w:tr>
      <w:tr>
        <w:trPr>
          <w:trHeight w:val="213"/>
        </w:trPr>
        <w:tc>
          <w:tcPr>
            <w:tcW w:w="2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tax effects</w:t>
            </w: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980" w:type="dxa"/>
            <w:vAlign w:val="bottom"/>
            <w:shd w:val="clear" w:color="auto" w:fill="CCEEFF"/>
          </w:tcPr>
          <w:p>
            <w:pPr>
              <w:ind w:left="160"/>
              <w:spacing w:after="0" w:line="165" w:lineRule="exact"/>
              <w:rPr>
                <w:sz w:val="20"/>
                <w:szCs w:val="20"/>
                <w:color w:val="auto"/>
              </w:rPr>
            </w:pPr>
            <w:r>
              <w:rPr>
                <w:rFonts w:ascii="Times New Roman" w:cs="Times New Roman" w:eastAsia="Times New Roman" w:hAnsi="Times New Roman"/>
                <w:sz w:val="16"/>
                <w:szCs w:val="16"/>
                <w:color w:val="auto"/>
              </w:rPr>
              <w:t>Equity reallocation between controlling</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146,534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146,534</w:t>
            </w:r>
          </w:p>
        </w:tc>
        <w:tc>
          <w:tcPr>
            <w:tcW w:w="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(146,534)</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and non-controlling interest</w:t>
            </w:r>
          </w:p>
        </w:tc>
        <w:tc>
          <w:tcPr>
            <w:tcW w:w="98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8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Deconsolidation of previously</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(45,814)</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(45,814)</w:t>
            </w:r>
          </w:p>
        </w:tc>
        <w:tc>
          <w:tcPr>
            <w:tcW w:w="0" w:type="dxa"/>
            <w:vAlign w:val="bottom"/>
          </w:tcPr>
          <w:p>
            <w:pPr>
              <w:spacing w:after="0"/>
              <w:rPr>
                <w:sz w:val="1"/>
                <w:szCs w:val="1"/>
                <w:color w:val="auto"/>
              </w:rPr>
            </w:pPr>
          </w:p>
        </w:tc>
      </w:tr>
      <w:tr>
        <w:trPr>
          <w:trHeight w:val="213"/>
        </w:trPr>
        <w:tc>
          <w:tcPr>
            <w:tcW w:w="2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consolidated entities</w:t>
            </w:r>
          </w:p>
        </w:tc>
        <w:tc>
          <w:tcPr>
            <w:tcW w:w="98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Acquisition of Peppertree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2,913,939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5,372,330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153,973</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57,751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211,724</w:t>
            </w:r>
          </w:p>
        </w:tc>
        <w:tc>
          <w:tcPr>
            <w:tcW w:w="0" w:type="dxa"/>
            <w:vAlign w:val="bottom"/>
          </w:tcPr>
          <w:p>
            <w:pPr>
              <w:spacing w:after="0"/>
              <w:rPr>
                <w:sz w:val="1"/>
                <w:szCs w:val="1"/>
                <w:color w:val="auto"/>
              </w:rPr>
            </w:pPr>
          </w:p>
        </w:tc>
      </w:tr>
      <w:tr>
        <w:trPr>
          <w:trHeight w:val="213"/>
        </w:trPr>
        <w:tc>
          <w:tcPr>
            <w:tcW w:w="2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Shares retired</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(223,728)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2025</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152,807,493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224,965,710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1,437,586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(294,439)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1,143,525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$ 2,629,631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$3,773,156</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840" w:type="dxa"/>
            <w:vAlign w:val="bottom"/>
            <w:tcBorders>
              <w:bottom w:val="single" w:sz="8" w:color="auto"/>
            </w:tcBorders>
          </w:tcPr>
          <w:p>
            <w:pPr>
              <w:spacing w:after="0"/>
              <w:rPr>
                <w:sz w:val="18"/>
                <w:szCs w:val="18"/>
                <w:color w:val="auto"/>
              </w:rPr>
            </w:pPr>
          </w:p>
        </w:tc>
      </w:tr>
      <w:tr>
        <w:trPr>
          <w:trHeight w:val="211"/>
        </w:trPr>
        <w:tc>
          <w:tcPr>
            <w:tcW w:w="704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40" w:type="dxa"/>
            <w:vAlign w:val="bottom"/>
            <w:tcBorders>
              <w:bottom w:val="single" w:sz="8" w:color="auto"/>
            </w:tcBorders>
          </w:tcPr>
          <w:p>
            <w:pPr>
              <w:spacing w:after="0"/>
              <w:rPr>
                <w:sz w:val="18"/>
                <w:szCs w:val="18"/>
                <w:color w:val="auto"/>
              </w:rPr>
            </w:pPr>
          </w:p>
        </w:tc>
      </w:tr>
      <w:tr>
        <w:trPr>
          <w:trHeight w:val="211"/>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1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6"/>
        </w:trPr>
        <w:tc>
          <w:tcPr>
            <w:tcW w:w="7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1200" w:type="dxa"/>
            <w:vAlign w:val="bottom"/>
          </w:tcPr>
          <w:p>
            <w:pPr>
              <w:jc w:val="right"/>
              <w:ind w:right="101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460,242</w:t>
            </w:r>
          </w:p>
        </w:tc>
        <w:tc>
          <w:tcPr>
            <w:tcW w:w="80" w:type="dxa"/>
            <w:vAlign w:val="bottom"/>
          </w:tcPr>
          <w:p>
            <w:pPr>
              <w:spacing w:after="0"/>
              <w:rPr>
                <w:sz w:val="19"/>
                <w:szCs w:val="19"/>
                <w:color w:val="auto"/>
              </w:rPr>
            </w:pPr>
          </w:p>
        </w:tc>
        <w:tc>
          <w:tcPr>
            <w:tcW w:w="1220" w:type="dxa"/>
            <w:vAlign w:val="bottom"/>
          </w:tcPr>
          <w:p>
            <w:pPr>
              <w:jc w:val="right"/>
              <w:ind w:right="101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317,169</w:t>
            </w:r>
          </w:p>
        </w:tc>
      </w:tr>
      <w:tr>
        <w:trPr>
          <w:trHeight w:val="233"/>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1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6"/>
        </w:trPr>
        <w:tc>
          <w:tcPr>
            <w:tcW w:w="70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Equity-based compensation</w:t>
            </w:r>
          </w:p>
        </w:tc>
        <w:tc>
          <w:tcPr>
            <w:tcW w:w="1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700,498</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573,836</w:t>
            </w:r>
          </w:p>
        </w:tc>
      </w:tr>
      <w:tr>
        <w:trPr>
          <w:trHeight w:val="233"/>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Performance allocation compensation</w:t>
            </w:r>
          </w:p>
        </w:tc>
        <w:tc>
          <w:tcPr>
            <w:tcW w:w="1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1,045,070</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951,562</w:t>
            </w:r>
          </w:p>
        </w:tc>
      </w:tr>
      <w:tr>
        <w:trPr>
          <w:trHeight w:val="226"/>
        </w:trPr>
        <w:tc>
          <w:tcPr>
            <w:tcW w:w="70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Net (gains) losses from investment activities</w:t>
            </w:r>
          </w:p>
        </w:tc>
        <w:tc>
          <w:tcPr>
            <w:tcW w:w="1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(110,807)</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2,666</w:t>
            </w:r>
          </w:p>
        </w:tc>
      </w:tr>
      <w:tr>
        <w:trPr>
          <w:trHeight w:val="233"/>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Capital allocation-based income</w:t>
            </w:r>
          </w:p>
        </w:tc>
        <w:tc>
          <w:tcPr>
            <w:tcW w:w="1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(1,524,808)</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(1,469,902)</w:t>
            </w:r>
          </w:p>
        </w:tc>
      </w:tr>
      <w:tr>
        <w:trPr>
          <w:trHeight w:val="226"/>
        </w:trPr>
        <w:tc>
          <w:tcPr>
            <w:tcW w:w="70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123,420</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103,225</w:t>
            </w:r>
          </w:p>
        </w:tc>
      </w:tr>
      <w:tr>
        <w:trPr>
          <w:trHeight w:val="233"/>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Non-cash lease expense</w:t>
            </w:r>
          </w:p>
        </w:tc>
        <w:tc>
          <w:tcPr>
            <w:tcW w:w="1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49,686</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42,081</w:t>
            </w:r>
          </w:p>
        </w:tc>
      </w:tr>
      <w:tr>
        <w:trPr>
          <w:trHeight w:val="226"/>
        </w:trPr>
        <w:tc>
          <w:tcPr>
            <w:tcW w:w="70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Other non-cash activities</w:t>
            </w:r>
          </w:p>
        </w:tc>
        <w:tc>
          <w:tcPr>
            <w:tcW w:w="1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58,051</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14,124</w:t>
            </w:r>
          </w:p>
        </w:tc>
      </w:tr>
      <w:tr>
        <w:trPr>
          <w:trHeight w:val="233"/>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6"/>
        </w:trPr>
        <w:tc>
          <w:tcPr>
            <w:tcW w:w="70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Purchases of investments</w:t>
            </w:r>
          </w:p>
        </w:tc>
        <w:tc>
          <w:tcPr>
            <w:tcW w:w="1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(706,549)</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(565,334)</w:t>
            </w:r>
          </w:p>
        </w:tc>
      </w:tr>
      <w:tr>
        <w:trPr>
          <w:trHeight w:val="233"/>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Proceeds from investments</w:t>
            </w:r>
          </w:p>
        </w:tc>
        <w:tc>
          <w:tcPr>
            <w:tcW w:w="1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1,092,083</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1,660,787</w:t>
            </w:r>
          </w:p>
        </w:tc>
      </w:tr>
      <w:tr>
        <w:trPr>
          <w:trHeight w:val="226"/>
        </w:trPr>
        <w:tc>
          <w:tcPr>
            <w:tcW w:w="70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Due from affiliates</w:t>
            </w:r>
          </w:p>
        </w:tc>
        <w:tc>
          <w:tcPr>
            <w:tcW w:w="1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(69,267)</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(37,171)</w:t>
            </w:r>
          </w:p>
        </w:tc>
      </w:tr>
      <w:tr>
        <w:trPr>
          <w:trHeight w:val="233"/>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Other assets</w:t>
            </w:r>
          </w:p>
        </w:tc>
        <w:tc>
          <w:tcPr>
            <w:tcW w:w="1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(4,321)</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(35,548)</w:t>
            </w:r>
          </w:p>
        </w:tc>
      </w:tr>
      <w:tr>
        <w:trPr>
          <w:trHeight w:val="226"/>
        </w:trPr>
        <w:tc>
          <w:tcPr>
            <w:tcW w:w="70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212,374</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207,938</w:t>
            </w:r>
          </w:p>
        </w:tc>
      </w:tr>
      <w:tr>
        <w:trPr>
          <w:trHeight w:val="233"/>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Due to affiliates</w:t>
            </w:r>
          </w:p>
        </w:tc>
        <w:tc>
          <w:tcPr>
            <w:tcW w:w="1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(19,104)</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50,919</w:t>
            </w:r>
          </w:p>
        </w:tc>
      </w:tr>
      <w:tr>
        <w:trPr>
          <w:trHeight w:val="226"/>
        </w:trPr>
        <w:tc>
          <w:tcPr>
            <w:tcW w:w="70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Accrued performance allocation compensation</w:t>
            </w:r>
          </w:p>
        </w:tc>
        <w:tc>
          <w:tcPr>
            <w:tcW w:w="1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(508,822)</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(686,917)</w:t>
            </w:r>
          </w:p>
        </w:tc>
      </w:tr>
      <w:tr>
        <w:trPr>
          <w:trHeight w:val="233"/>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Other liabilities</w:t>
            </w:r>
          </w:p>
        </w:tc>
        <w:tc>
          <w:tcPr>
            <w:tcW w:w="1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(24,960)</w:t>
            </w:r>
          </w:p>
        </w:tc>
        <w:tc>
          <w:tcPr>
            <w:tcW w:w="80" w:type="dxa"/>
            <w:vAlign w:val="bottom"/>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(53,337)</w:t>
            </w:r>
          </w:p>
        </w:tc>
      </w:tr>
      <w:tr>
        <w:trPr>
          <w:trHeight w:val="219"/>
        </w:trPr>
        <w:tc>
          <w:tcPr>
            <w:tcW w:w="7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1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772,786</w:t>
            </w: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1,076,098</w:t>
            </w:r>
          </w:p>
        </w:tc>
      </w:tr>
      <w:tr>
        <w:trPr>
          <w:trHeight w:val="200"/>
        </w:trPr>
        <w:tc>
          <w:tcPr>
            <w:tcW w:w="70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1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1"/>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Acquisition of Peppertree</w:t>
            </w:r>
          </w:p>
        </w:tc>
        <w:tc>
          <w:tcPr>
            <w:tcW w:w="1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(235,154)</w:t>
            </w:r>
          </w:p>
        </w:tc>
      </w:tr>
      <w:tr>
        <w:trPr>
          <w:trHeight w:val="226"/>
        </w:trPr>
        <w:tc>
          <w:tcPr>
            <w:tcW w:w="7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 of Jackson common stock</w:t>
            </w:r>
          </w:p>
        </w:tc>
        <w:tc>
          <w:tcPr>
            <w:tcW w:w="1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Purchases of fixed assets</w:t>
            </w:r>
          </w:p>
        </w:tc>
        <w:tc>
          <w:tcPr>
            <w:tcW w:w="1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(79,894)</w:t>
            </w:r>
          </w:p>
        </w:tc>
        <w:tc>
          <w:tcPr>
            <w:tcW w:w="80" w:type="dxa"/>
            <w:vAlign w:val="bottom"/>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(19,480)</w:t>
            </w:r>
          </w:p>
        </w:tc>
      </w:tr>
      <w:tr>
        <w:trPr>
          <w:trHeight w:val="219"/>
        </w:trPr>
        <w:tc>
          <w:tcPr>
            <w:tcW w:w="7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(579,894)</w:t>
            </w: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(254,634)</w:t>
            </w:r>
          </w:p>
        </w:tc>
      </w:tr>
      <w:tr>
        <w:trPr>
          <w:trHeight w:val="200"/>
        </w:trPr>
        <w:tc>
          <w:tcPr>
            <w:tcW w:w="70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1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1"/>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debt obligations</w:t>
            </w:r>
          </w:p>
        </w:tc>
        <w:tc>
          <w:tcPr>
            <w:tcW w:w="1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1,306,000</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1,284,000</w:t>
            </w:r>
          </w:p>
        </w:tc>
      </w:tr>
      <w:tr>
        <w:trPr>
          <w:trHeight w:val="226"/>
        </w:trPr>
        <w:tc>
          <w:tcPr>
            <w:tcW w:w="7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Repayment of debt obligations</w:t>
            </w:r>
          </w:p>
        </w:tc>
        <w:tc>
          <w:tcPr>
            <w:tcW w:w="1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(746,000)</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(766,000)</w:t>
            </w:r>
          </w:p>
        </w:tc>
      </w:tr>
      <w:tr>
        <w:trPr>
          <w:trHeight w:val="233"/>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Issuance costs on debt obligations</w:t>
            </w:r>
          </w:p>
        </w:tc>
        <w:tc>
          <w:tcPr>
            <w:tcW w:w="1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(5,202)</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(8,972)</w:t>
            </w:r>
          </w:p>
        </w:tc>
      </w:tr>
      <w:tr>
        <w:trPr>
          <w:trHeight w:val="226"/>
        </w:trPr>
        <w:tc>
          <w:tcPr>
            <w:tcW w:w="7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Withholding taxes paid on net settlement of equity-based awards</w:t>
            </w:r>
          </w:p>
        </w:tc>
        <w:tc>
          <w:tcPr>
            <w:tcW w:w="1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(217,282)</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(184,562)</w:t>
            </w:r>
          </w:p>
        </w:tc>
      </w:tr>
      <w:tr>
        <w:trPr>
          <w:trHeight w:val="233"/>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Contributions from holders of non-controlling interests</w:t>
            </w:r>
          </w:p>
        </w:tc>
        <w:tc>
          <w:tcPr>
            <w:tcW w:w="1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364,249</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132,449</w:t>
            </w:r>
          </w:p>
        </w:tc>
      </w:tr>
      <w:tr>
        <w:trPr>
          <w:trHeight w:val="226"/>
        </w:trPr>
        <w:tc>
          <w:tcPr>
            <w:tcW w:w="7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Dividends/Distributions</w:t>
            </w:r>
          </w:p>
        </w:tc>
        <w:tc>
          <w:tcPr>
            <w:tcW w:w="1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(865,687)</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(977,718)</w:t>
            </w:r>
          </w:p>
        </w:tc>
      </w:tr>
      <w:tr>
        <w:trPr>
          <w:trHeight w:val="233"/>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Settlement of contingent liabilities</w:t>
            </w:r>
          </w:p>
        </w:tc>
        <w:tc>
          <w:tcPr>
            <w:tcW w:w="1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(25,154)</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(18,646)</w:t>
            </w:r>
          </w:p>
        </w:tc>
      </w:tr>
      <w:tr>
        <w:trPr>
          <w:trHeight w:val="226"/>
        </w:trPr>
        <w:tc>
          <w:tcPr>
            <w:tcW w:w="7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Tax Receivable Agreement payments</w:t>
            </w:r>
          </w:p>
        </w:tc>
        <w:tc>
          <w:tcPr>
            <w:tcW w:w="1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(29,931)</w:t>
            </w: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(9,620)</w:t>
            </w:r>
          </w:p>
        </w:tc>
      </w:tr>
      <w:tr>
        <w:trPr>
          <w:trHeight w:val="227"/>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b w:val="1"/>
                <w:bCs w:val="1"/>
                <w:color w:val="auto"/>
              </w:rPr>
              <w:t>Net cash used in financing activities</w:t>
            </w:r>
          </w:p>
        </w:tc>
        <w:tc>
          <w:tcPr>
            <w:tcW w:w="1200" w:type="dxa"/>
            <w:vAlign w:val="bottom"/>
            <w:tcBorders>
              <w:bottom w:val="single" w:sz="8" w:color="auto"/>
            </w:tcBorders>
            <w:shd w:val="clear" w:color="auto" w:fill="CCEEFF"/>
          </w:tcPr>
          <w:p>
            <w:pPr>
              <w:jc w:val="right"/>
              <w:ind w:right="101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(219,007)</w:t>
            </w:r>
          </w:p>
        </w:tc>
        <w:tc>
          <w:tcPr>
            <w:tcW w:w="8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1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(549,069)</w:t>
            </w:r>
          </w:p>
        </w:tc>
      </w:tr>
      <w:tr>
        <w:trPr>
          <w:trHeight w:val="219"/>
        </w:trPr>
        <w:tc>
          <w:tcPr>
            <w:tcW w:w="7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Effect of exchange rate changes</w:t>
            </w:r>
          </w:p>
        </w:tc>
        <w:tc>
          <w:tcPr>
            <w:tcW w:w="1200" w:type="dxa"/>
            <w:vAlign w:val="bottom"/>
            <w:tcBorders>
              <w:bottom w:val="single" w:sz="8" w:color="auto"/>
            </w:tcBorders>
          </w:tcPr>
          <w:p>
            <w:pPr>
              <w:jc w:val="right"/>
              <w:ind w:right="101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01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change in cash, cash equivalents and restricted cash</w:t>
            </w:r>
          </w:p>
        </w:tc>
        <w:tc>
          <w:tcPr>
            <w:tcW w:w="1200" w:type="dxa"/>
            <w:vAlign w:val="bottom"/>
            <w:shd w:val="clear" w:color="auto" w:fill="CCEEFF"/>
          </w:tcPr>
          <w:p>
            <w:pPr>
              <w:jc w:val="right"/>
              <w:ind w:right="101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(26,235)</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272,395</w:t>
            </w:r>
          </w:p>
        </w:tc>
      </w:tr>
      <w:tr>
        <w:trPr>
          <w:trHeight w:val="226"/>
        </w:trPr>
        <w:tc>
          <w:tcPr>
            <w:tcW w:w="7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1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839,271</w:t>
            </w: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821,192</w:t>
            </w:r>
          </w:p>
        </w:tc>
      </w:tr>
      <w:tr>
        <w:trPr>
          <w:trHeight w:val="252"/>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end of period</w:t>
            </w:r>
          </w:p>
        </w:tc>
        <w:tc>
          <w:tcPr>
            <w:tcW w:w="1200" w:type="dxa"/>
            <w:vAlign w:val="bottom"/>
            <w:tcBorders>
              <w:bottom w:val="single" w:sz="8" w:color="auto"/>
            </w:tcBorders>
            <w:shd w:val="clear" w:color="auto" w:fill="CCEEFF"/>
          </w:tcPr>
          <w:p>
            <w:pPr>
              <w:jc w:val="right"/>
              <w:ind w:right="101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813,036</w:t>
            </w: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1,093,587</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 of other cash flow information:</w:t>
            </w:r>
          </w:p>
        </w:tc>
        <w:tc>
          <w:tcPr>
            <w:tcW w:w="1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6"/>
        </w:trPr>
        <w:tc>
          <w:tcPr>
            <w:tcW w:w="7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1200" w:type="dxa"/>
            <w:vAlign w:val="bottom"/>
          </w:tcPr>
          <w:p>
            <w:pPr>
              <w:jc w:val="right"/>
              <w:ind w:right="101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32,717</w:t>
            </w:r>
          </w:p>
        </w:tc>
        <w:tc>
          <w:tcPr>
            <w:tcW w:w="80" w:type="dxa"/>
            <w:vAlign w:val="bottom"/>
          </w:tcPr>
          <w:p>
            <w:pPr>
              <w:spacing w:after="0"/>
              <w:rPr>
                <w:sz w:val="19"/>
                <w:szCs w:val="19"/>
                <w:color w:val="auto"/>
              </w:rPr>
            </w:pPr>
          </w:p>
        </w:tc>
        <w:tc>
          <w:tcPr>
            <w:tcW w:w="1220" w:type="dxa"/>
            <w:vAlign w:val="bottom"/>
          </w:tcPr>
          <w:p>
            <w:pPr>
              <w:jc w:val="right"/>
              <w:ind w:right="101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27,379</w:t>
            </w:r>
          </w:p>
        </w:tc>
      </w:tr>
      <w:tr>
        <w:trPr>
          <w:trHeight w:val="233"/>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paid for interest</w:t>
            </w:r>
          </w:p>
        </w:tc>
        <w:tc>
          <w:tcPr>
            <w:tcW w:w="1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94,376</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70,292</w:t>
            </w:r>
          </w:p>
        </w:tc>
      </w:tr>
      <w:tr>
        <w:trPr>
          <w:trHeight w:val="226"/>
        </w:trPr>
        <w:tc>
          <w:tcPr>
            <w:tcW w:w="7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Purchases of fixed assets included in accounts payable and accrued expenses</w:t>
            </w:r>
          </w:p>
        </w:tc>
        <w:tc>
          <w:tcPr>
            <w:tcW w:w="1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16,362</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0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cash, cash equivalents and restricted cash, end of period:</w:t>
            </w:r>
          </w:p>
        </w:tc>
        <w:tc>
          <w:tcPr>
            <w:tcW w:w="1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1"/>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200" w:type="dxa"/>
            <w:vAlign w:val="bottom"/>
            <w:shd w:val="clear" w:color="auto" w:fill="CCEEFF"/>
          </w:tcPr>
          <w:p>
            <w:pPr>
              <w:jc w:val="right"/>
              <w:ind w:right="101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799,786</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1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1,080,304</w:t>
            </w:r>
          </w:p>
        </w:tc>
      </w:tr>
      <w:tr>
        <w:trPr>
          <w:trHeight w:val="226"/>
        </w:trPr>
        <w:tc>
          <w:tcPr>
            <w:tcW w:w="7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Restricted cash</w:t>
            </w:r>
          </w:p>
        </w:tc>
        <w:tc>
          <w:tcPr>
            <w:tcW w:w="1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13,250</w:t>
            </w:r>
          </w:p>
        </w:tc>
        <w:tc>
          <w:tcPr>
            <w:tcW w:w="8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13,283</w:t>
            </w:r>
          </w:p>
        </w:tc>
      </w:tr>
      <w:tr>
        <w:trPr>
          <w:trHeight w:val="252"/>
        </w:trPr>
        <w:tc>
          <w:tcPr>
            <w:tcW w:w="7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end of period</w:t>
            </w:r>
          </w:p>
        </w:tc>
        <w:tc>
          <w:tcPr>
            <w:tcW w:w="1200" w:type="dxa"/>
            <w:vAlign w:val="bottom"/>
            <w:tcBorders>
              <w:bottom w:val="single" w:sz="8" w:color="auto"/>
            </w:tcBorders>
            <w:shd w:val="clear" w:color="auto" w:fill="CCEEFF"/>
          </w:tcPr>
          <w:p>
            <w:pPr>
              <w:jc w:val="right"/>
              <w:ind w:right="101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813,036</w:t>
            </w: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1,093,587</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Inc., along with its consolidated subsidiaries (collectively “TPG,” or the “Company”) is a leading global alternative asset manager on behalf of third-party investors under the “TPG” brand name. TPG Inc. includes the consolidated accounts of management companies, general partners of pooled investment entities and variable interest entities, in which the Company is the primary beneficiary, held by TPG Operating Group II, L.P., a holding company (“TPG Operating Group”).</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2026, TPG Inc. held approximately 45% of the outstanding Common Units of the TPG Operating Group.</w:t>
      </w:r>
    </w:p>
    <w:p>
      <w:pPr>
        <w:spacing w:after="0" w:line="221" w:lineRule="exact"/>
        <w:rPr>
          <w:sz w:val="20"/>
          <w:szCs w:val="20"/>
          <w:color w:val="auto"/>
        </w:rPr>
      </w:pPr>
    </w:p>
    <w:p>
      <w:pPr>
        <w:ind w:left="500" w:right="7680" w:hanging="492"/>
        <w:spacing w:after="0" w:line="503" w:lineRule="auto"/>
        <w:tabs>
          <w:tab w:leader="none" w:pos="19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(the “Condensed Consolidated Financial Statements”) have been prepared in accordance with accounting principles generally accepted in the United States of America (“U.S. GAAP”) and reflect all adjustments, consisting only of normal recurring adjustments, which are, in the opinion of management, necessary for a fair presentation of the Company’s Condensed Consolidated Financial Statements. The operating results presented for interim periods are not necessarily indicative of the results that may be expected for any other interim period or for the entire year. These condensed consolidated financial statements should be read in conjunction with the audited consolidated financial statements included in the Company’s Annual Report on Form 10-K for the year ended December 31, 2025, filed with the Securities and Exchange Commission. All dollar amounts are stated in thousands unless otherwise indicated. All intercompany transactions and balances have been eliminated. Certain comparative amounts for the prior fiscal year have been reclassified to conform to the financial statement presentation as of and for the period ended September 30, 2026.</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TPG Inc., TPG Operating Group and their consolidated subsidiaries, management companies, the general partners of funds and entities that meet the definition of a variable interest entity (“VIE”) for which the Company is considered the primary beneficiary.</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accordance with U.S. GAAP requires management to make estimates and assumptions that affect the reported amounts of assets and liabilities and the disclosure of contingent assets and liabilities at the date of the Condensed Consolidated Financial Statements, and the reported amounts of revenues, expenses, and investment income during the reporting periods. Actual results could differ from those estimates and such differences could be material to the Condensed Consolidated Financial Statements.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types of entities TPG assesses for consolidation include subsidiaries, management companies, broker-dealers, general partners of investment funds, investment funds and other entities. Each of these entities is assessed for consolidation on a case by case basis depending on the specific facts and circumstances surrounding that entity.</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TPG first considers whether an entity is considered a VIE and therefore whether to apply the consolidation guidance under the VIE model. Entities that do not qualify as VIEs are assessed for consolidation as voting interest entities (“VOE”) under the voting interest model.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An entity is considered to be a VIE if any of the following conditions exist: (i) the equity investment at risk is not sufficient to finance the activities of the entity without additional subordinated financial support, (ii) as a group, the holders of the equity investment at risk lack the power to direct the activities that most significantly impact the entity’s economic performance or the obligation to absorb the expected losses or right to receive the expected residual returns, and (iii) the voting rights of some holders of the equity investment at risk are disproportionate to their obligation to absorb losses or right to receive returns, and substantially all of the activities are conducted on behalf of the holder of equity investment at risk with disproportionately few voting rights. For limited partnerships, limited partners lack power if neither (i) a simple majority or lower threshold (including a single limited partner) with equity at risk is able to exercise substantive kick-out rights through voting interests over the general partner, nor (ii) limited partners with equity at risk are able to exercise substantive participating rights over the general partners.</w:t>
      </w:r>
    </w:p>
    <w:p>
      <w:pPr>
        <w:spacing w:after="0" w:line="19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TPG consolidates all VIEs in which it is the primary beneficiary. An entity is determined to be the primary beneficiary if it holds a controlling financial interest in a VIE. A controlling financial interest is defined as (i) the power to direct the activities of a VIE that most significantly impact the VIE’s economic performance and (ii) the obligation to absorb losses of the VIE or the right to receive benefits from the VIE that could potentially be significant to the VIE. The consolidation guidance requires an analysis to determine (i) whether an entity in which TPG holds a variable interest is a VIE and (ii) whether TPG’s involvement, through holding an interest directly or indirectly in the entity or contractually through other variable interests, would give it a controlling financial interest. Performance of that analysis requires judgment. The analysis can generally be performed qualitatively; however, if it is not readily apparent that TPG is not the primary beneficiary, a quantitative analysis may also be performed. TPG factors in all economic interests including interests held through related parties, to determine if it holds a variable interest. Fees earned by TPG that are customary and commensurate with the level of effort required for the services provided, and where TPG does not hold other economic interests in the entity that would absorb more than an insignificant amount of the expected losses or returns of the entity, would not be considered variable interests. TPG determines whether it is the primary beneficiary of a VIE at the time it becomes involved with a VIE and continuously reconsiders that conclusion when facts and circumstances change.</w:t>
      </w:r>
    </w:p>
    <w:p>
      <w:pPr>
        <w:spacing w:after="0" w:line="19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Entities that are determined not to be VIEs are generally considered to be VOEs and are evaluated under the voting interest model. TPG consolidates VOEs that it controls through a majority voting interest or through other means.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Investments consist of investments in private equity funds, real estate funds, hedge funds and credit funds, including our share of any performance allocations and equity method and other proprietary investments. Investments denominated in currencies other than the U.S. dollar are valued based on the spot rate of the respective currency at the end of the reporting period with changes related to exchange rate movements reflected in the Condensed Consolidated Financial Statements.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Equity Method – Performance Allocations and Capital Interests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Investments in which the Company is deemed to have significant influence, but not control, are accounted for using the equity method of accounting except in cases where the fair value option has been elected. The Company as general partner has significant influence over the TPG funds in which it invests but does not consolidate. The Company uses the equity method of accounting for these interests whereby it records both its proportionate and disproportionate allocation of the underlying profits or losses of these entities in revenues in the accompanying Condensed Consolidated Financial Statements. The carrying amounts of equity method investments are included in investments in the Condensed Consolidated Financial Statements. The Company evaluates its equity method investments for impairment whenever events or changes in circumstances indicate that the carrying amounts of such investments may not be recoverable. The difference between the carrying value and its estimated fair value is recognized as an impairment when the loss is deemed other than temporary.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TPG funds are considered investment companies under Accounting Standards Codification (“ASC” or the “Codification”) Topic 946,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Services – Investment Companies </w:t>
      </w:r>
      <w:r>
        <w:rPr>
          <w:rFonts w:ascii="Times New Roman" w:cs="Times New Roman" w:eastAsia="Times New Roman" w:hAnsi="Times New Roman"/>
          <w:sz w:val="18"/>
          <w:szCs w:val="18"/>
          <w:color w:val="auto"/>
        </w:rPr>
        <w:t>(“ASC 946”). The Company, along with the TPG funds, applies the specialized accounting promulgated in ASC 946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such, neither the Company nor the TPG funds consolidate wholly-owned, majority-owned and/or controlled portfolio companies. The TPG funds record all investments in the portfolio companies at fair value. Investments in publicly traded securities are generally valued at quoted market prices based upon the last sales price on the measurement date. Discounts are applied, where appropriate, to reflect restrictions on the marketability of the investment.</w:t>
      </w:r>
    </w:p>
    <w:p>
      <w:pPr>
        <w:spacing w:after="0" w:line="18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When observable prices are not available for investments, the general partners use the market and income approaches to determine fair value. The market approach consists of utilizing observable market data, such as current trading or acquisition multiples of comparable companies, and applying it to key financial metrics, such as earnings before interest, depreciation and taxes, of the portfolio company. The comparability of the identified set of comparable companies to the portfolio company, among other factors, is considered in the application of the market approach.</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general partners, depending on the type of investment or stage of the portfolio company’s lifecycle, may also utilize a discounted cash flow analysis, an income approach, in combination with the market approach in determining fair value of investments. The income approach involves discounting projected cash flows of the portfolio company at a rate commensurate with the level of risk associated with those cash flows. In accordance with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market participant assumptions are used in the determination of the discount rate.</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applying valuation techniques used in the determination of fair value, the general partners assume a reasonable period of time for liquidation of the investment and take into consideration the financial condition and operating results of the underlying portfolio company, the nature of the investment, restrictions on marketability, market conditions, foreign currency exposures and other factors. In determining the fair value of investments, the general partners exercise significant judgment and use the best information available as of the measurement date. Due to the inherent uncertainty of valuations, the fair values reflected in the accompanying Condensed Consolidated Financial Statements may differ materially from values that would have been used had a readily available market existed for such investments and may differ materially from the values that may ultimately be realized.</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Investments Held to Maturity</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holds investments in the notes issued by collateralized loan obligation (“CLO”) funds that are held to maturity. The Company has the intent and ability to hold these investments until maturity. Held to maturity securities are stated at amortized cost, adjusted for amortization of premiums and accretion of discounts to maturity computed under the effective interest method. The effective interest method uses projected cash flows and includes uncertainties and contingencies that are difficult to predict and are subject to future events that may impact estimated interest income prospectively. Certain tranches of the notes were purchased at a discount and are being amortized back to par value until they mature at various dates between 2033 and 2035. If the Company failed to keep these investments as held to maturity, it would be required to reclassify them as trading securities and would measure them at fair value. Where applicable, impairment is recognized related to investments in the CLO funds in accordance with U.S. GAAP. The CLO funds evaluate securities for impairment on a security-by-security basis based on adverse changes in expected cash flows.</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Equity Method Investments – Other</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holds non-controlling, limited partnership interests in certain other partnerships in which it has significant influence over their operations. The Company uses the equity method of accounting for these interests whereby it records its proportionate share of the underlying income or losses of these entities in net gains (losses) from investment activities in the accompanying Condensed Consolidated Financial Statements. The carrying amounts of equity method investments are included in investments in the Condensed Consolidated Financial Statements. The Company evaluates its equity method investments for impairment whenever events or changes in circumstances indicate that the carrying amounts of such investments may not be recoverable. The difference between the carrying value and its estimated fair value is recognized as an impairment when the loss is deemed other than temporary and recorded in net gains (losses) from investment activities within the Condensed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Equity Method – Fair Value Option</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elects the fair value option for certain investments that would otherwise be accounted for using the equity method of accounting. Such election is irrevocable and is applied on an investment-by-investment basis at initial recognition. The fair value of such investments is based on quoted prices in an active market. Changes in the fair value of these equity method investments are recognized in net gains (losses) from investment activities in the Condensed Consolidated Financial Statements.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Equity Investments</w:t>
      </w:r>
    </w:p>
    <w:p>
      <w:pPr>
        <w:spacing w:after="0" w:line="22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holds non-controlling ownership interests in which it does not have significant influence over their operations. The Company records such investments at fair value.</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Investments Held for Sale and Other</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Investments held for sale and other are held primarily for the purpose of selling in the near term. The Company elects the fair value option, in accordance with 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for certain investments held for sale with changes in fair value recognized in net gains (losses) from investment activities in the Condensed Consolidated Financial Statements. Such election is irrevocable and is applied on an investment-by-investment basis at initial recognition. Management believes that the election of the fair value option for investments held for sale improves financial reporting by presenting the most relevant market indication of investments held for sale. The Company records investments held for sale and other at fair value using discounted cash flow and market comparable approaches. Interest income on investments held for sale and other is calculated based upon the contractual rate of the investment, where applicable, and recorded in interest, dividends and other in the Condensed Consolidated Financial Statements. For investments held for sale, up-front costs and certain other fees are expensed as incurred, or at the time of funding for the respective investment.</w:t>
      </w:r>
    </w:p>
    <w:p>
      <w:pPr>
        <w:spacing w:after="0" w:line="2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Loan Held for Sale</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enter into transactions in which it arranges short-term funding for affiliates, such as portfolio companies or investees, as part of the Company’s capital markets activities. The Company invests in loans issued by portfolio companies that are held for sale. Loans held for sale are recorded at the lower of amortized cost basis or fair value, in which the fair value approximates the carrying amounts represented in the Condensed Consolidated Financial Statements.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Non-controlling interests consist of ownership interests held by third-party investors in certain entities that are consolidated, but not 100% owned. The aggregate of the income or loss and corresponding equity that is not owned by the Company is included in non-controlling interests in the Condensed Consolidated Financial Statements. Allocation of income to non-controlling interest holders is based on the respective entities’ governing documents.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Revenues consisted of the following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6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8"/>
                <w:szCs w:val="18"/>
                <w:color w:val="auto"/>
              </w:rPr>
            </w:pPr>
          </w:p>
        </w:tc>
        <w:tc>
          <w:tcPr>
            <w:tcW w:w="2840" w:type="dxa"/>
            <w:vAlign w:val="bottom"/>
            <w:gridSpan w:val="4"/>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0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5"/>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1,574,800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1,342,004</w:t>
            </w: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Monitoring fees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22,192</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fees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112,814</w:t>
            </w: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fees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20,309</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reimbursements and other</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211,709</w:t>
            </w:r>
          </w:p>
        </w:tc>
      </w:tr>
      <w:tr>
        <w:trPr>
          <w:trHeight w:val="223"/>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fees and other</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2,037,734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1,709,028</w:t>
            </w: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allocations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592,932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1,456,621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1,379,281</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 interests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90,621</w:t>
            </w:r>
          </w:p>
        </w:tc>
      </w:tr>
      <w:tr>
        <w:trPr>
          <w:trHeight w:val="223"/>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capital allocation-based income</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1,524,808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1,469,902</w:t>
            </w:r>
          </w:p>
        </w:tc>
      </w:tr>
      <w:tr>
        <w:trPr>
          <w:trHeight w:val="223"/>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1,221,112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1,223,517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3,562,542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3,178,930</w:t>
            </w:r>
          </w:p>
        </w:tc>
      </w:tr>
      <w:tr>
        <w:trPr>
          <w:trHeight w:val="20"/>
        </w:trPr>
        <w:tc>
          <w:tcPr>
            <w:tcW w:w="5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Fees and Other</w:t>
      </w:r>
    </w:p>
    <w:p>
      <w:pPr>
        <w:spacing w:after="0" w:line="22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Fees and other are accounted for as contracts with customers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guidance for contracts with customers provides a five-step framework that requires the Company to (i) identify the contract with a customer, (ii) identify the performance obligations in the contract, (iii) determine the transaction price, (iv) allocate the transaction price to the performance obligations in the contract and (v) recognize revenue when the Company satisfies its performance obligations. In determining the transaction price, the Company includes variable consideration only to the extent that it is probable that a significant reversal in the amount of cumulative revenue recognized would not occur when the uncertainty associated with the variable consideration is resolved.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18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Revenue Streams</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Customer</w:t>
            </w:r>
          </w:p>
        </w:tc>
        <w:tc>
          <w:tcPr>
            <w:tcW w:w="2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Performance Obligations satisfied</w:t>
            </w:r>
          </w:p>
        </w:tc>
        <w:tc>
          <w:tcPr>
            <w:tcW w:w="1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Variable or Fixed Consideration</w:t>
            </w:r>
          </w:p>
        </w:tc>
        <w:tc>
          <w:tcPr>
            <w:tcW w:w="1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Revenue Recognition</w:t>
            </w:r>
          </w:p>
        </w:tc>
        <w:tc>
          <w:tcPr>
            <w:tcW w:w="1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Classification of Uncollected</w:t>
            </w:r>
          </w:p>
        </w:tc>
        <w:tc>
          <w:tcPr>
            <w:tcW w:w="0" w:type="dxa"/>
            <w:vAlign w:val="bottom"/>
          </w:tcPr>
          <w:p>
            <w:pPr>
              <w:spacing w:after="0"/>
              <w:rPr>
                <w:sz w:val="1"/>
                <w:szCs w:val="1"/>
                <w:color w:val="auto"/>
              </w:rPr>
            </w:pPr>
          </w:p>
        </w:tc>
      </w:tr>
      <w:tr>
        <w:trPr>
          <w:trHeight w:val="203"/>
        </w:trPr>
        <w:tc>
          <w:tcPr>
            <w:tcW w:w="188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over time or</w:t>
            </w:r>
          </w:p>
        </w:tc>
        <w:tc>
          <w:tcPr>
            <w:tcW w:w="186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Amounts</w:t>
            </w:r>
            <w:r>
              <w:rPr>
                <w:rFonts w:ascii="Times New Roman" w:cs="Times New Roman" w:eastAsia="Times New Roman" w:hAnsi="Times New Roman"/>
                <w:sz w:val="16"/>
                <w:szCs w:val="16"/>
                <w:color w:val="auto"/>
                <w:w w:val="91"/>
                <w:vertAlign w:val="superscript"/>
              </w:rPr>
              <w:t>(b)</w:t>
            </w:r>
          </w:p>
        </w:tc>
        <w:tc>
          <w:tcPr>
            <w:tcW w:w="0" w:type="dxa"/>
            <w:vAlign w:val="bottom"/>
          </w:tcPr>
          <w:p>
            <w:pPr>
              <w:spacing w:after="0"/>
              <w:rPr>
                <w:sz w:val="1"/>
                <w:szCs w:val="1"/>
                <w:color w:val="auto"/>
              </w:rPr>
            </w:pPr>
          </w:p>
        </w:tc>
      </w:tr>
      <w:tr>
        <w:trPr>
          <w:trHeight w:val="209"/>
        </w:trPr>
        <w:tc>
          <w:tcPr>
            <w:tcW w:w="1880" w:type="dxa"/>
            <w:vAlign w:val="bottom"/>
            <w:tcBorders>
              <w:left w:val="single" w:sz="8" w:color="auto"/>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point in time</w:t>
            </w:r>
            <w:r>
              <w:rPr>
                <w:rFonts w:ascii="Times New Roman" w:cs="Times New Roman" w:eastAsia="Times New Roman" w:hAnsi="Times New Roman"/>
                <w:sz w:val="16"/>
                <w:szCs w:val="16"/>
                <w:color w:val="auto"/>
                <w:w w:val="94"/>
                <w:vertAlign w:val="superscript"/>
              </w:rPr>
              <w:t>(a)</w:t>
            </w:r>
          </w:p>
        </w:tc>
        <w:tc>
          <w:tcPr>
            <w:tcW w:w="186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1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42424"/>
                <w:w w:val="95"/>
              </w:rPr>
              <w:t>Management Fees</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TPG funds, limited partners</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Asset management services are satisfied</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Consideration is variable since over</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Management fees are recognized</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Due from affiliates –</w:t>
            </w: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and other vehicles</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over time (daily) because the customer</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time the management fee varies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each reporting period based on the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unconsolidated VIEs</w:t>
            </w: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receives and consumes the benefits of</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based on fluctuations in the basis of</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value provided to the customer for</w:t>
            </w: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the advisory services daily</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the calculation of the fee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that reporting period</w:t>
            </w: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42424"/>
                <w:w w:val="96"/>
              </w:rPr>
              <w:t>Monitoring Fees</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Portfolio companies</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In connection with the investment</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Consideration is variable when</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Monitoring fees are recognized</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Due from affiliates – portfolio</w:t>
            </w: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advisory services provided, the</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based on fluctuations in the basis of</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each reporting period based on the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companies</w:t>
            </w: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Company earns monitoring fees for</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the calculation of the fee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value provided to the customer for</w:t>
            </w: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providing oversight and advisory</w:t>
            </w:r>
          </w:p>
        </w:tc>
        <w:tc>
          <w:tcPr>
            <w:tcW w:w="1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Consideration is fixed when based</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that reporting period</w:t>
            </w:r>
          </w:p>
        </w:tc>
        <w:tc>
          <w:tcPr>
            <w:tcW w:w="1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880" w:type="dxa"/>
            <w:vAlign w:val="bottom"/>
            <w:tcBorders>
              <w:left w:val="single" w:sz="8" w:color="auto"/>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214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6"/>
              </w:rPr>
              <w:t>services to certain portfolio companies</w:t>
            </w:r>
          </w:p>
        </w:tc>
        <w:tc>
          <w:tcPr>
            <w:tcW w:w="186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1880" w:type="dxa"/>
            <w:vAlign w:val="bottom"/>
            <w:tcBorders>
              <w:left w:val="single" w:sz="8" w:color="auto"/>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over time</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on a fixed agreed-upon amount</w:t>
            </w:r>
          </w:p>
        </w:tc>
        <w:tc>
          <w:tcPr>
            <w:tcW w:w="18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42424"/>
                <w:w w:val="96"/>
              </w:rPr>
              <w:t>Transaction Fees</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Portfolio companies, third-</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Company provides advisory</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Consideration is fixed and is based</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Transaction fees are recognized on</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Due from affiliates – portfolio</w:t>
            </w:r>
          </w:p>
        </w:tc>
        <w:tc>
          <w:tcPr>
            <w:tcW w:w="0" w:type="dxa"/>
            <w:vAlign w:val="bottom"/>
          </w:tcPr>
          <w:p>
            <w:pPr>
              <w:spacing w:after="0"/>
              <w:rPr>
                <w:sz w:val="1"/>
                <w:szCs w:val="1"/>
                <w:color w:val="auto"/>
              </w:rPr>
            </w:pPr>
          </w:p>
        </w:tc>
      </w:tr>
      <w:tr>
        <w:trPr>
          <w:trHeight w:val="149"/>
        </w:trPr>
        <w:tc>
          <w:tcPr>
            <w:tcW w:w="188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parties and other vehicles</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services, debt and equity arrangements,</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on a point in time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or shortly after the transaction is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companies</w:t>
            </w: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and underwriting and placement services</w:t>
            </w:r>
          </w:p>
        </w:tc>
        <w:tc>
          <w:tcPr>
            <w:tcW w:w="18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completed</w:t>
            </w: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Other assets – other</w:t>
            </w:r>
          </w:p>
        </w:tc>
        <w:tc>
          <w:tcPr>
            <w:tcW w:w="0" w:type="dxa"/>
            <w:vAlign w:val="bottom"/>
          </w:tcPr>
          <w:p>
            <w:pPr>
              <w:spacing w:after="0"/>
              <w:rPr>
                <w:sz w:val="1"/>
                <w:szCs w:val="1"/>
                <w:color w:val="auto"/>
              </w:rPr>
            </w:pPr>
          </w:p>
        </w:tc>
      </w:tr>
      <w:tr>
        <w:trPr>
          <w:trHeight w:val="164"/>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for a fee at a point in time</w:t>
            </w:r>
          </w:p>
        </w:tc>
        <w:tc>
          <w:tcPr>
            <w:tcW w:w="18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42424"/>
                <w:w w:val="96"/>
              </w:rPr>
              <w:t>Incentive Fees</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TPG funds, limited partners</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Investment management services</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Consideration is variable since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Incentive fees are recognized at the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Due from affiliates –</w:t>
            </w:r>
          </w:p>
        </w:tc>
        <w:tc>
          <w:tcPr>
            <w:tcW w:w="0" w:type="dxa"/>
            <w:vAlign w:val="bottom"/>
          </w:tcPr>
          <w:p>
            <w:pPr>
              <w:spacing w:after="0"/>
              <w:rPr>
                <w:sz w:val="1"/>
                <w:szCs w:val="1"/>
                <w:color w:val="auto"/>
              </w:rPr>
            </w:pPr>
          </w:p>
        </w:tc>
      </w:tr>
      <w:tr>
        <w:trPr>
          <w:trHeight w:val="149"/>
        </w:trPr>
        <w:tc>
          <w:tcPr>
            <w:tcW w:w="188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and other vehicles</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performed over a period of time that</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incentive fees are contingent upon</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end of the performance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unconsolidated VIEs</w:t>
            </w: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result in achievement of minimum</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TPG Fund or vehicles achieving</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measurement period if the</w:t>
            </w: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investment return levels</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more than the stipulated investment</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investment performance is achieved</w:t>
            </w:r>
          </w:p>
        </w:tc>
        <w:tc>
          <w:tcPr>
            <w:tcW w:w="1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threshold return</w:t>
            </w:r>
          </w:p>
        </w:tc>
        <w:tc>
          <w:tcPr>
            <w:tcW w:w="18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42424"/>
                <w:w w:val="95"/>
              </w:rPr>
              <w:t>Expense</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TPG funds, portfolio</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Expense reimbursements incurred at a</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Expense reimbursements and other</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Expense reimbursements and other</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Due from affiliates – portfolio</w:t>
            </w:r>
          </w:p>
        </w:tc>
        <w:tc>
          <w:tcPr>
            <w:tcW w:w="0" w:type="dxa"/>
            <w:vAlign w:val="bottom"/>
          </w:tcPr>
          <w:p>
            <w:pPr>
              <w:spacing w:after="0"/>
              <w:rPr>
                <w:sz w:val="1"/>
                <w:szCs w:val="1"/>
                <w:color w:val="auto"/>
              </w:rPr>
            </w:pPr>
          </w:p>
        </w:tc>
      </w:tr>
      <w:tr>
        <w:trPr>
          <w:trHeight w:val="151"/>
        </w:trPr>
        <w:tc>
          <w:tcPr>
            <w:tcW w:w="1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42424"/>
                <w:w w:val="98"/>
              </w:rPr>
              <w:t>Reimbursements and other</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companies and third-parties</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point in time relate to providing</w:t>
            </w:r>
          </w:p>
        </w:tc>
        <w:tc>
          <w:tcPr>
            <w:tcW w:w="1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are fixed consideration</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are recognized as the expenses are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companies and unconsolidated</w:t>
            </w: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investment, management and monitoring</w:t>
            </w:r>
          </w:p>
        </w:tc>
        <w:tc>
          <w:tcPr>
            <w:tcW w:w="18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incurred or services are rendered</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VIEs</w:t>
            </w:r>
          </w:p>
        </w:tc>
        <w:tc>
          <w:tcPr>
            <w:tcW w:w="0" w:type="dxa"/>
            <w:vAlign w:val="bottom"/>
          </w:tcPr>
          <w:p>
            <w:pPr>
              <w:spacing w:after="0"/>
              <w:rPr>
                <w:sz w:val="1"/>
                <w:szCs w:val="1"/>
                <w:color w:val="auto"/>
              </w:rPr>
            </w:pPr>
          </w:p>
        </w:tc>
      </w:tr>
      <w:tr>
        <w:trPr>
          <w:trHeight w:val="148"/>
        </w:trPr>
        <w:tc>
          <w:tcPr>
            <w:tcW w:w="188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services. Other services are performed</w:t>
            </w:r>
          </w:p>
        </w:tc>
        <w:tc>
          <w:tcPr>
            <w:tcW w:w="186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Other assets – other</w:t>
            </w:r>
          </w:p>
        </w:tc>
        <w:tc>
          <w:tcPr>
            <w:tcW w:w="0" w:type="dxa"/>
            <w:vAlign w:val="bottom"/>
          </w:tcPr>
          <w:p>
            <w:pPr>
              <w:spacing w:after="0"/>
              <w:rPr>
                <w:sz w:val="1"/>
                <w:szCs w:val="1"/>
                <w:color w:val="auto"/>
              </w:rPr>
            </w:pPr>
          </w:p>
        </w:tc>
      </w:tr>
      <w:tr>
        <w:trPr>
          <w:trHeight w:val="164"/>
        </w:trPr>
        <w:tc>
          <w:tcPr>
            <w:tcW w:w="1880" w:type="dxa"/>
            <w:vAlign w:val="bottom"/>
            <w:tcBorders>
              <w:left w:val="single" w:sz="8" w:color="auto"/>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over time</w:t>
            </w:r>
          </w:p>
        </w:tc>
        <w:tc>
          <w:tcPr>
            <w:tcW w:w="186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9"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significant judgments made in evaluating when a customer obtains control of the promised service for performance obligations satisfied at a point in time.</w:t>
      </w:r>
    </w:p>
    <w:p>
      <w:pPr>
        <w:spacing w:after="0" w:line="55"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10 to the Condensed Consolidated Financial Statements for amounts classified in due from affiliates.</w:t>
      </w:r>
    </w:p>
    <w:p>
      <w:pPr>
        <w:spacing w:after="0" w:line="2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Management Fees</w:t>
      </w:r>
    </w:p>
    <w:p>
      <w:pPr>
        <w:spacing w:after="0" w:line="227" w:lineRule="exact"/>
        <w:rPr>
          <w:sz w:val="20"/>
          <w:szCs w:val="20"/>
          <w:color w:val="auto"/>
        </w:rPr>
      </w:pPr>
    </w:p>
    <w:p>
      <w:pPr>
        <w:jc w:val="both"/>
        <w:ind w:right="20" w:firstLine="486"/>
        <w:spacing w:after="0" w:line="254" w:lineRule="auto"/>
        <w:rPr>
          <w:sz w:val="20"/>
          <w:szCs w:val="20"/>
          <w:color w:val="auto"/>
        </w:rPr>
      </w:pPr>
      <w:r>
        <w:rPr>
          <w:rFonts w:ascii="Times New Roman" w:cs="Times New Roman" w:eastAsia="Times New Roman" w:hAnsi="Times New Roman"/>
          <w:sz w:val="18"/>
          <w:szCs w:val="18"/>
          <w:color w:val="auto"/>
        </w:rPr>
        <w:t>The Company provides investment management services to the TPG funds, limited partners, separately managed accounts (“SMAs”) and clients, and other vehicles in exchange for a management fee. Management fees also include catch-up fees, also known as out-of-period management fees, which are fees paid in any given period that relate to a prior period, usually as the result of a new limited partner coming into a fund in a subsequent close. Management fees are determined quarterly based on an annual rate and are generally based upon a percentage of capital committed, net funded capital commitments, cost of investments, Net Asset Value (“NAV”) or actively invested capital or as otherwise defined in the respective management agreements. Since some of the factors that cause management fees to fluctuate are outside of the Company’s control, management fees are considered constrained and are not included in the transaction price until the uncertainty relating to the constraint is subsequently resolved. However, as these fees are payable on a regular basis, the uncertainty relating to the constraint becomes resolved and revenue is accordingly recognized at the end of the period. After the contract is established, management does not make any significant judgments in determining the transaction price.</w:t>
      </w: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Management fee rates generally range between the following:</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73"/>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Management fee base</w:t>
            </w:r>
          </w:p>
        </w:tc>
        <w:tc>
          <w:tcPr>
            <w:tcW w:w="224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Low</w:t>
            </w:r>
          </w:p>
        </w:tc>
        <w:tc>
          <w:tcPr>
            <w:tcW w:w="21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High</w:t>
            </w:r>
          </w:p>
        </w:tc>
      </w:tr>
      <w:tr>
        <w:trPr>
          <w:trHeight w:val="223"/>
        </w:trPr>
        <w:tc>
          <w:tcPr>
            <w:tcW w:w="6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Committed capital</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30"/>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Actively invested capital</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0.25 %</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229"/>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funded capital commitments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r>
      <w:tr>
        <w:trPr>
          <w:trHeight w:val="230"/>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investments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0.33 %</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NAV</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0.35 %</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r>
    </w:tbl>
    <w:p>
      <w:pPr>
        <w:spacing w:after="0" w:line="29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Under the terms of the management agreements with certain TPG funds, the Company is required to reduce management fees payable by funds by an agreed upon percentage of certain fees, including monitoring and transaction fees earned from portfolio companies. These amounts are generally applied as a reduction of the management fee that is otherwise billed to the investment fund and are recorded as a reduction of revenues in the Condensed Consolidated Statements of Operations. For the three and nine months ended September 30, 2026, these amounts totaled $16.8 million and $36.6 million, respectively. For the three and nine months ended September 30, 2025, these amounts totaled $5.8 million and $24.2 million, respectively. Amounts payable to investment funds are recorded in due to affiliates in the Condensed Consolidated Financial Statements. See Note 10 to the Condensed Consolidated Financial Statements.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Monitoring Fees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Monitoring fees are earned for providing oversight and advisory services to certain portfolio companies. Monitoring fees are based upon the contractual terms of the related agreements with the underlying portfolio company and are recognized as such services are provided. After the monitoring contract is established, there are no significant judgments made in determining the transaction price.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Transaction Fees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provides capital structuring and other advice to portfolio companies, third parties and other vehicles generally in connection with debt and equity arrangements, as well as underwriting and placement services for a fee at a point in time when the underlying advisory services rendered are complete. Transaction fees are separately negotiated for each transaction and are generally based on the underlying transaction value. After the contract is established, management makes no significant judgments when determining the transaction price.</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Incentive Fees</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provides investment management services to certain TPG funds and other vehicles in exchange for a management fee as discussed above and, in some cases, an incentive fee when the Company is not entitled to performance allocations, as further discussed below. Incentive fees are considered variable consideration in the scope of the revenue guidance as these fees are affected by changes in the fair value of investments over the performance period. The Company recognizes incentive fees only when these amounts are no longer subject to significant reversal, which is typically at the end of a defined performance period and/or upon expiration of the associated clawback period. After the contract is established, there are no significant judgments made when determining the transaction price.</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Expense Reimbursements and Other</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providing investment management and advisory services to TPG funds and monitoring services to the portfolio companies, TPG routinely contracts for services from third parties. In situations where the Company is viewed, for accounting purposes only, as having incurred these third-party costs on behalf of the TPG funds or portfolio companies, the cost of such services is presented net as a reduction of the Company’s revenues. In all other situations, the expenses and related reimbursements associated with these services are presented on a gross basis, which are classified as part of the Company’s expenses, and reimbursements of such costs are classified as expense reimbursements within revenues in the Condensed Consolidated Financial Statements. After the contract is established, there are no significant judgments made when determining the transaction price.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Capital Allocation-Based Income (Loss)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Capital allocation-based income (loss) is earned from the TPG funds when the Company has a general partner’s capital interest and is entitled to a disproportionate allocation of investment income (referred to hereafter as “performance allocations”). The Company records capital allocation-based income (loss) under the equity method of accounting assuming the fund was liquidated as of each reporting date pursuant to each TPG fund’s governing agreements. Accordingly, these general partner interests are accounted for outside of the scope of ASC 606.</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arrangements surrounding contractual incentive fees through an advisory contract are separate and distinct and accounted for in accordance with ASC 606. In these incentive fee arrangements, the Company’s economics in the entity do not involve an allocation of capital. See discussion above regarding “Incentive Fees.”</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Open-end funds can issue and redeem interests to investors on an on-going basis at the then-current net asset values subject to the fund’s policies as specified in governing documents. The Company generally receives performance allocations from its open-end funds based on a percentage of annual fund profits, reduced by minimum return hurdles, and subject to prior year loss carry-forwards. Performance allocations are either paid in the first quarter following the performance year or during the calendar year if there are investor redemptions and are generally not subject to repayment by the Company. Performance allocations attributed to certain non-liquid investments (“side pocket investments”) owned by open-end funds are paid when the associated side pocket investments are realized.</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Performance allocations for closed-end funds are allocated to the general partners based on cumulative fund performance as of each reporting date, and after specified investment returns to the funds’ limited partners are achieved. At the end of each reporting period, the TPG funds calculate and allocate the performance allocations that would then be due to the general partner for each TPG fund, pursuant to the TPG fund governing agreements, as if the fair value of the underlying investments were realized as of such date, irrespective of whether such amounts have been realized. As the fair value of underlying investments (and the investment returns to the funds’ limited partners) varies between reporting periods, it is necessary to make adjustments to amounts recorded as performance allocations to reflect either (i) positive performance resulting in an increase in the performance allocations allocated to the general partner or (ii) negative performance that would cause the amount due to the general partner to be less than the amount previously recognized, resulting in a negative adjustment to performance allocations allocated to the general partner. In each case, performance allocations are calculated on a cumulative basis and cumulative results are compared to amounts previously recorded with a current period adjustment, positive or negative, recorded.</w:t>
      </w:r>
    </w:p>
    <w:p>
      <w:pPr>
        <w:spacing w:after="0" w:line="18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ceases to record negative performance allocations once previously recognized performance allocations for a TPG fund have been fully reversed, including realized performance allocations. The general partner is not obligated to make payments for guaranteed returns or hurdles of a fund and, therefore, cannot have negative performance allocations over the life of a fund. Accrued but unpaid performance allocations as of the reporting date are reflected in investments in the Company’s Condensed Consolidated Financial Statements. Performance allocations received by the general partners of the respective TPG funds are subject to clawback to the extent the performance allocations received by the general partner exceed the amount the general partner is ultimately entitled to receive based on cumulative fund results. Generally, the actual clawback liability does not become due until eighteen months after the realized loss is incurred; however, individual fund terms vary. For disclosures at September 30, 2026 related to clawback, see Note 12 to the Condensed Consolidated Financial Statements. Revenue related to performance allocations for consolidated TPG funds is eliminated in consolidation.</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earns management fees, incentive fees and capital allocation-based income (loss) from investment funds and other vehicles whose primary focus is making investments in varying geographical locations and earns transaction and monitoring fees from portfolio companies located in varying geographies, including North America, Europe and Asia-Pacific. The primary geographic region in which the Company invests is North America and the majority of its revenues from contracts with customers is also generated in North America.</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carrying value of equity method investments in proprietary investments where the Company exerts significant influence is generally determined based on the amounts invested, adjusted for the equity in earnings or losses of the investee allocated based on the Company’s ownership percentage, less distributions and any impairment. The Company records its proportionate share of investee’s equity in earnings or losses based on the most recently available financial information, which in certain cases may lag the date of TPG’s financial statements by up to three calendar months. Income from equity method investments is recorded in net gains (losses) from investment activities on the Condensed Consolidated Financial Statements.</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Income from Investments Held for Sale and Other</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Income from investments held for sale and other includes unrealized gains and losses resulting from changes in the fair value of these investments during the period. Income from investments held for sale and other is recorded in net gains (losses) from investment activities on the Condensed Consolidated Financial Statements.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Income from Equity Method Investments for which the Fair Value Option Was Elected</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Income from equity method investments for which the fair value option was elected includes realized gains and losses from the sale of investments, and unrealized gains and losses from changes in the fair value during the period as a result of quoted prices in an active market. Discounts are applied, where appropriate, to reflect restrictions on the marketability of the investment. Income from equity method investments for which the fair value option was elected is recorded in net gains (losses) from investment activities on the Condensed Consolidated Financial Statements.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Income from Equity Investments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Income from equity investments, which represents investments held through equity securities of an investee that the Company does not hold significant influence over, includes realized gains from the sale of investments and unrealized gains and losses resulting from observable price changes in orderly transactions for the identical or a similar investment of the same issuer. Income from equity investments is recorded in net gains (losses) from investment activities on the Condensed Consolidated Financial Statements.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Interest, Dividends and Other</w:t>
      </w:r>
    </w:p>
    <w:p>
      <w:pPr>
        <w:spacing w:after="0" w:line="22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Interest income is recognized as earned. Dividend income is recognized by the Company on the ex-dividend date, or in the absence of a formal declaration, on the date it is received.</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Cash-based compensation and benefits includes (i) salaries and wages, (ii) benefits and (iii) discretionary cash bonuses. Bonuses are accrued over the service period to which they relate.</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Compensation expense related to the issuance of equity-based awards is measured at grant-date fair value. Compensation expense for awards that vest over a future service period is recognized over the relevant service period on a straight-line basis. Compensation expense for awards that do not require future service is recognized immediately. Compensation expense for awards that contain both market and service conditions is based on grant-date fair value that factors in the probability that the market conditions will be achieved and is recognized on a tranche-by-tranche basis using the accelerated attribution method. The requisite service period for those awards is the longer of the explicit service period and the derived service period. Compensation expense for awards that contain both performance and service conditions is recognized, if the Company deems it probable that the performance condition will be met, over the longer of the implicit or explicit service period. Compensation expense for awards to recipients with retirement eligibility provisions (allowing such recipient to continue vesting upon departure from TPG) is either expensed immediately or amortized to the retirement eligibility date. The Company recognizes equity-based award forfeitures in the period in which they occur as a reversal of previously recognized compensation expense.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Performance allocation compensation expense and accrued performance allocation compensation is the portion of performance allocations that TPG allocates to certain of its employees and certain other advisors of the Company. Performance allocations due to our partners and professionals are accounted for as compensation expense in conjunction with the recognition of the related performance allocations and, until paid, are recognized as accrued performance allocation compensation. Accordingly, upon a reversal of performance allocations, the related compensation expense, if any, is also reversed.</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 of Class A Common Stock</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Basic income (loss) per share of Class A common stock is calculated by dividing net income (loss) attributable to TPG Inc. by the weighted-average shares of Class A common stock, unvested participating shares of Class A common stock outstanding for the period and vested deferred restricted shares of Class A common stock that have been earned for which issuance of the related shares of Class A common stock is deferred until future periods. Diluted income (loss) per share of Class A common stock reflects the impact of all dilutive securities. Unvested participating shares of common stock are excluded from the computation in periods of loss as they are not contractually obligated to share in losses.</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applies the treasury stock method to determine the dilutive weighted-average common shares represented by the unvested restricted stock units (“RSUs”). The Company applies the if-converted method to the TPG Operating Group partnership units to determine the dilutive impact, if any, of the exchange right included in the TPG Operating Group partnership units.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on deposit with banks and other short-term investments with an initial maturity of 90 days or less. Restricted cash balances relate to cash balances reserved for the payment of interest on the Company’s privately placed securitization notes (“Secured Notes”).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ASC 820 establishes a fair value hierarchy that prioritizes and ranks the level of observability of inputs used to measure financial assets and liabilities reported at fair value. The observability of inputs is impacted by a number of factors, including the type of instrument, characteristics specific to the instrument, market conditions and other factors. The hierarchy gives the highest priority to unadjusted quoted prices in active markets for identical assets or liabilities (Level I measurements) and the lowest priority to unobservable inputs (Level III measurements).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Financial instruments with readily available quoted prices or for which fair value can be measured from quoted prices in active markets will typically have a higher degree of input observability and a lesser degree of judgment applied in determining fair value.</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three levels of the fair value hierarchy under ASC 820 are as follows:</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Level I – Quoted prices (unadjusted) in active markets for identical financial instruments at the measurement date are used. The types of instruments generally included in Level I are publicly listed equities and debt.</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Level II – Pricing inputs are other than quoted prices included within Level I that are observable for the financial instrument, either directly or indirectly. Level II pricing inputs include quoted prices for similar financial instruments in active markets, quoted prices for identical or similar instruments in markets that are not active, inputs other than quoted prices that are observable for the instrument, and inputs that are derived principally from or corroborated by observable market data by correlation or other means. The types of instruments generally included in Level II are restricted securities listed in active markets, corporate bonds and loans.</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Level III – Pricing inputs are unobservable and include situations where there is little, if any, market activity for the financial instrument. The inputs used in determination of fair value require significant judgment and estimation. The types of instruments generally included in Level III are privately held debt, equity securities and contingent consideration.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some cases, the inputs used to measure fair value might fall within different levels of the fair value hierarchy. In such cases, the level in the fair value hierarchy within which the instrument is categorized in its entirety is determined based on the lowest level input that is significant to the instrument. Assessing the significance of a particular input to the valuation of an instrument in its entirety requires judgment and considers factors specific to the instrument. The categorization of an instrument within the hierarchy is based upon the pricing transparency of the instrument and does not necessarily correspond to the perceived risk of that instrument.</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certain instances, an instrument that is measured and reported at fair value may be transferred into or out of Level I, II, or III of the fair value hierarchy.</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certain cases, debt and equity securities are valued on the basis of prices from an orderly transaction between market participants provided by reputable dealers or pricing services. In determining the value of a particular instrument, pricing services may use certain information with respect to transactions in such instruments, quotations from dealers, pricing matrices, market transactions of comparable instruments and various relationships between instruments. When a security is valued based on dealer quotes, the Company subjects those quotes to various criteria in making the determination as to whether a particular instrument would qualify for treatment as a Level II or Level III instrument. Some of the factors considered include the number and quality of quotes, the standard deviations of the observed quotes and the corroboration of the quotes to independent pricing services.</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Level III instruments may include common and preferred equity securities, corporate debt, other privately issued securities and contingent consideration. When observable prices are not available for these securities, one or more valuation techniques (e.g., the market approach and/or the income approach) for which sufficient and reliable data is available are used. Within Level III, the use of the market approach generally consists of using comparable market transactions or other data, while the use of the income approach generally utilizes the net present value of estimated future cash flows, adjusted, as appropriate, for liquidity, credit, market and other risk factors. Due to the inherent uncertainty of these valuations, the fair values reflected in the accompanying Condensed Consolidated Financial Statements may differ materially from values that would have been used had a readily available market for the instruments existed and may differ materially from the values that may ultimately be realized. The period of time over which the underlying assets of the instruments will be liquidated is unknown.</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Due From and Due To Affiliates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considers current and former limited partners of funds and employees, including their related entities, entities controlled by the Company’s Founders but not consolidated by the Company, portfolio companies of TPG funds, and unconsolidated TPG funds to be affiliates (“Affiliates”). Receivables from and payables to Affiliates are recorded at their expected settlement amount in due from and due to Affiliates in the Condensed Consolidated Financial Statements.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business combinations using the acquisition method under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under which the purchase price of the acquisition is allocated to the assets acquired and liabilities assumed generally using the fair values determined by management as of the acquisition date. Management’s determination of fair value of assets acquired and liabilities assumed at the acquisition date is based on the best information available in the circumstances and may incorporate management’s own assumptions and involve a significant degree of judgment. Management uses its best estimates and assumptions to accurately assign fair value to the tangible and identifiable intangible assets acquired and liabilities assumed at the acquisition date as well as the useful lives of those acquired intangible assets. Examples of critical estimates in valuing certain of the intangible assets we have acquired include future expected cash inflows and outflows, future fundraising assumptions, expected useful life, discount rates and income tax rates. Our estimates for future cash flows are based on historical data, various internal estimates and certain external sources, and are based on assumptions that are consistent with the plans and estimates we are using to manage the underlying assets acquired. Unanticipated events and circumstances may occur that could affect the accuracy or validity of such assumptions, estimates or actual results. For business combinations accounted for under the acquisition method, the purchase consideration, including the fair value of certain elements of contingent consideration as of the acquisition date, in excess of the fair value of net assets acquired is recorded as goodwill.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consideration transferred, the fair value of any non-controlling interest in the acquiree and the fair value of any previously held equity interest in the acquiree over the net of the acquisition-date values of the identifiable assets and liabilities assumed. Goodwill is not amortized. Goodwill is reviewed for impairment at least annually utilizing a qualitative or quantitative approach, and more frequently if circumstances indicate impairment may have occurred. The impairment testing for goodwill under the qualitative approach is based first on an assessment to determine if it is more likely than not that the fair value of the Company’s reporting unit is less than its respective carrying value. If it is determined that it is more likely than not that the reporting unit’s fair value is less than its carrying value, the Company performs a quantitative analysis. When the quantitative approach indicates an impairment, an impairment loss is recognized to the extent by which the carrying value exceeds the fair value, not to exceed the total amount of goodwill. As of September 30, 2026, we believe it is more likely than not that the fair value of our reporting unit exceeds its carrying value.</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Company’s intangible assets primarily consist of the fair value of its interests in future performance allocations from certain funds and the fair value of acquired investor relationships representing the fair value of management fees earned from existing investors in future funds. Finite-lived intangible assets are amortized over their estimated useful lives, which range from two to 13 years, and are reviewed for impairment whenever events or changes in circumstances indicate that the carrying amount of the intangible asset may not be recoverable. Amortization expense is included in depreciation and amortization expense in the Condensed Consolidated Financial Statements.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At contract inception, the Company determines if an arrangement contains a lease by evaluating whether (i) an identified asset has been deployed in a contract explicitly or implicitly and (ii) the Company obtains substantially all the economic benefits from the use of that underlying asset and directs how and for what purpose the asset is used during the term of the contract. Additionally, at contract inception the Company will evaluate whether the lease is an operating or finance lease. Right-of-use (“ROU”) assets represent the Company’s right to use an underlying asset for the lease term and operating lease liabilities represent the Company’s obligation to make lease payments arising from the lease. Operating lease liabilities are recognized at the commencement date based on the present value of the lease payments over the lease term. To the extent these payments are fixed or determinable, they are included as part of the lease payments used to measure the lease liability. The Company’s ROU assets are recognized as the initial measurement of the lease liabilities plus any initial direct costs and any prepaid lease payments less lease incentives received, if any. The lease terms may include options to extend or terminate the lease which are accounted for when it is reasonably certain that the Company will exercise that option. If the discount rate implicit to the lease is not readily determinable, incremental borrowing rates of the Company are used. The incremental borrowing rates are based on the information available including collateral assumptions, the term of the lease and the economic environment in which the lease is denominated at the commencement date.</w:t>
      </w:r>
    </w:p>
    <w:p>
      <w:pPr>
        <w:spacing w:after="0" w:line="19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The Company elected the package of practical expedients provided under the guidance. The practical expedient package applies to leases commenced prior to the adoption of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and permits companies not to reassess whether existing or expired contracts are or contain a lease, the lease classification, and any initial direct costs for any existing leases. The Company has elected to not separate the lease and non-lease components within the contract. Therefore, all fixed payments associated with the lease are included in the ROU asset and the lease liability. These costs often relate to the fixed payments for items such as common area maintenance and other operating costs in addition to a base rent. Any variable payments related to the lease are recorded as lease expense when and as incurred. The Company has elected this practical expedient for all lease classes. The Company did not elect the hindsight practical expedient. The Company has elected the short-term lease expedient. A short-term lease is a lease that, as of the commencement date, has a lease term of 12 months or less and does not include an option to purchase the underlying asset that the lessee is reasonably certain to exercise. For such leases, the Company will not apply the recognition requirements of ASC 842 and instead will recognize the lease payments as lease cost on a straight-line basis over the lease term. Additionally, the Company elected the practical expedient which allows an entity to not reassess whether any existing land easements are or contain leases.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Company’s leases primarily consist of operating leases for real estate, which have remaining terms of one to 15 years. Some of those leases include options to extend for additional terms ranging from one to 10 years. The Company’s other leases, including those for office equipment, vehicles and aircraft, are not significant. Additionally, the Company’s leases do not contain restrictions or covenants that restrict the Company from incurring other financial obligations. The Company also does not provide any residual value guarantees for the leases. From time to time, the Company enters into certain sublease agreements that have terms similar to the remaining terms of the master lease agreements between TPG and the landlord. Sublease income is recorded as an offset to general, administrative and other in the accompanying Condensed Consolidated Financial Statements.</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Operating lease expense is recognized on a straight-line basis over the lease term and is recorded within general, administrative and other in the accompanying Condensed Consolidated Financial Statements (see Note 11 to the Condensed Consolidated Financial Statements).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Fixed Assets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Fixed assets consist primarily of leasehold improvements, furniture, fixtures and equipment, computer hardware and software and other fixed assets which are recorded at cost, less accumulated depreciation, and are included in other assets on the Condensed Consolidated Statements of Financial Condition. Leasehold improvements are amortized using the straight-line method, over the shorter of the respective estimated useful life or the lease term. Depreciation of furniture, fixtures, equipment and computer hardware and software is recorded over the estimated useful life of the asset, generally three to seven years, using the straight-line method. The Company evaluates long-lived assets for impairment whenever events or changes in circumstances indicate the carrying amount of an asset may not be recoverable. Upon the occurrence of a triggering event, management compares the estimated undiscounted cash flows associated with the long-lived asset to its carrying value to determine whether an impairment has occurred. If the undiscounted cash flows are less than the carrying value, an impairment is recorded as the difference between the fair value of the long-lived asset and its carrying value. Fair value is based on estimated discounted cash flows associated with the long-lived asset.</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April 1, 2026, the Company changed the functional currency of certain of its international subsidiaries from the U.S. dollar to the local currency due to the Company’s continued exposure to foreign currency cash flows as part of the Company’s growth and expansion internationally.</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Non-U.S. dollar denominated assets and liabilities of foreign operations are translated at rates of exchange as of the end of the reporting period. Non-U.S. dollar denominated revenues and expenses from foreign operations are translated using average rates of exchange during the period. Gains and losses resulting from translation are included in accumulated other comprehensive income on the Condensed Consolidated Statements of Financial Condition. Transactions denominated in currencies other than the functional currency that create foreign exchange gains and losses are recorded within fees and other on the Condensed Consolidated Statements of Operations.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Repurchase Agreements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through its subsidiary, has financed the purchase of certain investments in the debt tranches of certain CLO funds through a repurchase agreement. The Company records these investments as an asset and the related borrowings under the repurchase agreements are recorded as a liability on the Condensed Consolidated Statements of Financial Condition. The amount borrowed is the amount equal to the debt investment outstanding in the CLO. Interest income earned and interest expense incurred on the repurchase obligation are reported on the Condensed Consolidated Statements of Operations. Accrued interest receivable on investments is included in other assets and accrued interest payable on repurchase agreements is included in accounts payable and accrued expenses on the Condensed Consolidated Statements of Financial Condition.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Securities sold under agreements to repurchase are accounted for as collateralized financing transactions. The Company provides securities to counterparties to collateralize amounts borrowed under repurchase agreements on terms that permit the counterparties to repledge or resell the securities to others. Securities transferred to counterparties under repurchase agreements are included within investments in the Condensed Consolidated Statements of Financial Condition. Cash received under a repurchase agreement is recognized as a liability within other liabilities in the Condensed Consolidated Statements of Financial Condition. Interest expense is recognized on an effective yield basis and is included within interest expense in the Condensed Consolidated Statements of Operations.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is treated as a corporation for U.S. federal and state income tax purposes. The Company is subject to U.S. federal and state income taxes, in addition to local and foreign income taxes, with respect to our allocable share of taxable income generated by the TPG Operating Group partnerships. Prior to the Reorganization and the IPO, the Company was treated as a partnership for U.S. federal income tax purposes and therefore was not subject to U.S. federal and state income taxes except for certain consolidated subsidiaries that were subject to taxation in the United States (federal, state and local) and foreign jurisdictions as a result of their entity classification for tax reporting purposes. The provision for income taxes in the historical Condensed Consolidated Financial Statements consists of U.S. (federal, state and local) and foreign income taxes with respect to certain consolidated subsidiaries.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recognized for future tax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periods in which those temporary differences are expected to be recovered or settled. The effect on deferred tax assets and liabilities of a change in tax rates is recognized in the period in which the enactment date occurs.</w:t>
      </w:r>
    </w:p>
    <w:p>
      <w:pPr>
        <w:spacing w:after="0" w:line="17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Under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 valuation allowance is established when management believes it is more likely than not that a deferred tax asset will not be realized. The realization of deferred tax assets is dependent on the amount of our future taxable income. When evaluating the realizability of deferred tax assets, all evidence (both positive and negative) is considered. This evidence includes, but is not limited to, expectations regarding future earnings, future reversals of existing temporary tax differences and tax planning strategies.</w:t>
      </w:r>
    </w:p>
    <w:p>
      <w:pPr>
        <w:spacing w:after="0" w:line="18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Tax laws are complex and subject to different interpretations by the taxpayer and respective governmental taxing authorities. Significant judgment is required in determining tax expense and in evaluating tax positions including evaluating uncertainties. The Company reviews its tax positions quarterly and adjusts its tax balances as new information becomes available. The Company recognizes interest and penalties relating to unrecognized tax benefits as income tax expense (benefit) within the Condensed Consolidated Financial Statements.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provides a variety of fee-based asset management services to the TPG funds, limited partners, SMAs and clients, and other vehicles, primarily in North America. The Company is also entitled to performance allocations from the TPG funds when the Company has a general partner interest. The Company operates its business as a single operating and reportable segment, as the Company’s chief operating decision maker (the “CODM”), its Chief Executive Officer (“CEO”), manages the business on a consolidated basis. The segment expenses regularly provided to the CODM are the same as those shown on the Company’s Condensed Consolidated Statement of Operations. The Company operates collaboratively across product lines through shared investment themes and relies on shared support functions that span across product lines. The CODM uses consolidated net income as one of the primary measures to make resource allocation decisions and assess the performance of the Company across reporting periods. There is no difference between segment assets and total consolidated assets. As the Company operates as a single segment, the accounting policies utilized by the segment are consistent with those included in the Condensed Consolidated Financial Statements herein.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 ASU 2024-03 aims to enhance transparency for users of financial statements by requiring public business entities to provide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detailed information about the types of expenses in commonly presented expense captions. In particular, ASU 2024-03 contains new required tabular disclosures related to the amounts of specified natural expenses (e.g., employee compensation, depreciation, intangible asset amortization) disclosed in a particular expense caption. Additionally, ASU 2024-03 clarifies that certain other expenses and gains or losses that must be disclosed under existing U.S. GAAP recorded in a relevant expense caption must also be presented in the same tabular disclosure. Lastly, ASU 2024-03 requires separate disclosure of selling expenses. ASU 2024-03 is effective for the Company beginning after December 15, 2026, and interim reporting periods within annual reporting periods beginning after December 15, 2027, with early adoption permitted. The Company is currently evaluating the impact of adoption of ASU 2024-03 on its Condensed Consolidated Financial Statements and disclosures.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Peppertree Acquisition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July 1, 2025, the Company completed the acquisition of Peppertree Capital Management, Inc. (“Peppertree”). The acquisition was accounted for as a business combination under ASC 805. Additional information regarding the transaction, including the purchase price allocation and related goodwill and identifiable intangible assets, is included in Note 3, Acquisition, to the Company’s Annual Report on Form 10-K for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Investments consist of the following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40" w:type="dxa"/>
            <w:vAlign w:val="bottom"/>
          </w:tcPr>
          <w:p>
            <w:pPr>
              <w:spacing w:after="0"/>
              <w:rPr>
                <w:sz w:val="18"/>
                <w:szCs w:val="18"/>
                <w:color w:val="auto"/>
              </w:rPr>
            </w:pPr>
          </w:p>
        </w:tc>
        <w:tc>
          <w:tcPr>
            <w:tcW w:w="182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 performance allocations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8,211,947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7,309,239</w:t>
            </w:r>
          </w:p>
        </w:tc>
      </w:tr>
      <w:tr>
        <w:trPr>
          <w:trHeight w:val="225"/>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 capital interests (includes assets pledged of $389,633 and $521,124 as of</w:t>
            </w: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61"/>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30, 2026 and December 31, 2025, respectively)</w:t>
            </w:r>
          </w:p>
        </w:tc>
        <w:tc>
          <w:tcPr>
            <w:tcW w:w="22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1,296,486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1,801,436</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613,558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held for sale</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held to maturity, at amortized cost (includes assets pledged of $72,072 and $82,198</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61"/>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of September 30, 2026 and December 31, 2025, respectively)</w:t>
            </w:r>
          </w:p>
        </w:tc>
        <w:tc>
          <w:tcPr>
            <w:tcW w:w="22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79,550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88,480</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method - other</w:t>
            </w: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12,661</w:t>
            </w:r>
          </w:p>
        </w:tc>
      </w:tr>
      <w:tr>
        <w:trPr>
          <w:trHeight w:val="248"/>
        </w:trPr>
        <w:tc>
          <w:tcPr>
            <w:tcW w:w="7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10,277,810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9,211,816</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Net gains (losses) from performance allocations and capital interests are disclosed in the Revenue section of Note 2 to the Condensed Consolidated Financial Statements. The following table summarizes net gains (losses) from investment activities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8"/>
                <w:szCs w:val="18"/>
                <w:color w:val="auto"/>
              </w:rPr>
            </w:pPr>
          </w:p>
        </w:tc>
        <w:tc>
          <w:tcPr>
            <w:tcW w:w="2840" w:type="dxa"/>
            <w:vAlign w:val="bottom"/>
            <w:gridSpan w:val="4"/>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0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(losses) gains of equity method investments - other</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from equity investments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121,144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(losses) of investments held for sale and other</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r>
      <w:tr>
        <w:trPr>
          <w:trHeight w:val="22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net gains (losses) from investment activities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120,991</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110,807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w:t>
            </w: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84"/>
        </w:trPr>
        <w:tc>
          <w:tcPr>
            <w:tcW w:w="5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Loan Held for Sale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2026, the Company held a short-term funding arrangement as part of the Company’s capital markets activities for $59.3 million which is recorded at amortized cost basis in investments on the Condensed Consolidated Statements of Financial Condition. As of December 31, 2025, there was no outstanding balance on the arrangement.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to Maturity, at Amortized Cost</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carrying value of investments held to maturity is included in investments on the Condensed Consolidated Statements of Financial Condition. The Company estimates an allowance for credit losses (“ACL”) on the investments classified as held to maturity securities. The fair value of investments held to maturity, excluding any reserves for credit losses, was $81.9 million and $90.0 million at September 30, 2026 and December 31, 2025, respectively.</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evaluates its equity method investments in which it has not elected the fair value option for impairment whenever events or changes in circumstances indicate that the carrying amounts of such investments may not be recoverable. During the three and nine months ended September 30, 2026 and 2025, the Company did not recognize any impairment losses on an equity method investment.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February 11, 2026, the Company entered into a long-term, strategic investment management partnership (the “Jackson Transaction”) with Jackson Financial Inc. (“Jackson”) whereby the Company will serve as an investment manager for select general account assets of subsidiaries of Jackson. In connection with the Transaction, the TPG Operating Group purchased 4,715,554 shares of common stock of Jackson. The fair value of the shares purchased is included in Investments on the Condensed Consolidated Statements of Financial Condition and, as the shares purchased have a readily determinable fair value, changes in fair value are recorded within net gains (losses) from investment activities in the Company’s Condensed Consolidated Statements of Operations each reporting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summarize the valuation of the Company’s assets and liabilities that fall within the fair value hierarchy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1"/>
        </w:trPr>
        <w:tc>
          <w:tcPr>
            <w:tcW w:w="5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28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340" w:type="dxa"/>
            <w:vAlign w:val="bottom"/>
          </w:tcPr>
          <w:p>
            <w:pPr>
              <w:spacing w:after="0"/>
              <w:rPr>
                <w:sz w:val="18"/>
                <w:szCs w:val="18"/>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at fair value</w:t>
            </w: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investments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613,558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613,558</w:t>
            </w:r>
          </w:p>
        </w:tc>
      </w:tr>
      <w:tr>
        <w:trPr>
          <w:trHeight w:val="248"/>
        </w:trPr>
        <w:tc>
          <w:tcPr>
            <w:tcW w:w="504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613,558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at fair value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Aggregate Annual Cash Holdback Amount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48,451</w:t>
            </w:r>
          </w:p>
        </w:tc>
      </w:tr>
      <w:tr>
        <w:trPr>
          <w:trHeight w:val="23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Earnout Payment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3"/>
        </w:trPr>
        <w:tc>
          <w:tcPr>
            <w:tcW w:w="50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48,710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48,710</w:t>
            </w:r>
          </w:p>
        </w:tc>
      </w:tr>
      <w:tr>
        <w:trPr>
          <w:trHeight w:val="21"/>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ind w:left="8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1"/>
        </w:trPr>
        <w:tc>
          <w:tcPr>
            <w:tcW w:w="504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340" w:type="dxa"/>
            <w:vAlign w:val="bottom"/>
          </w:tcPr>
          <w:p>
            <w:pPr>
              <w:spacing w:after="0"/>
              <w:rPr>
                <w:sz w:val="18"/>
                <w:szCs w:val="18"/>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at fair value</w:t>
            </w:r>
          </w:p>
        </w:tc>
        <w:tc>
          <w:tcPr>
            <w:tcW w:w="1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3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Aggregate Annual Cash Holdback Amount</w:t>
            </w:r>
          </w:p>
        </w:tc>
        <w:tc>
          <w:tcPr>
            <w:tcW w:w="1100" w:type="dxa"/>
            <w:vAlign w:val="bottom"/>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70,875</w:t>
            </w:r>
          </w:p>
        </w:tc>
      </w:tr>
      <w:tr>
        <w:trPr>
          <w:trHeight w:val="22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Earnout Payment</w:t>
            </w: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13,727</w:t>
            </w:r>
          </w:p>
        </w:tc>
      </w:tr>
      <w:tr>
        <w:trPr>
          <w:trHeight w:val="223"/>
        </w:trPr>
        <w:tc>
          <w:tcPr>
            <w:tcW w:w="50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1100" w:type="dxa"/>
            <w:vAlign w:val="bottom"/>
            <w:tcBorders>
              <w:top w:val="single" w:sz="8" w:color="auto"/>
              <w:bottom w:val="single" w:sz="8" w:color="auto"/>
            </w:tcBorders>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84,602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84,602</w:t>
            </w:r>
          </w:p>
        </w:tc>
      </w:tr>
      <w:tr>
        <w:trPr>
          <w:trHeight w:val="20"/>
        </w:trPr>
        <w:tc>
          <w:tcPr>
            <w:tcW w:w="50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changes in the fair value of financial instruments for which the Company has used Level III inputs to determine fair value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140" w:type="dxa"/>
            <w:vAlign w:val="bottom"/>
            <w:gridSpan w:val="6"/>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8"/>
                <w:szCs w:val="18"/>
                <w:color w:val="auto"/>
              </w:rPr>
            </w:pPr>
          </w:p>
        </w:tc>
        <w:tc>
          <w:tcPr>
            <w:tcW w:w="2840" w:type="dxa"/>
            <w:vAlign w:val="bottom"/>
            <w:gridSpan w:val="4"/>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0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at fair value</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90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178,023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121,995</w:t>
            </w:r>
          </w:p>
        </w:tc>
      </w:tr>
      <w:tr>
        <w:trPr>
          <w:trHeight w:val="230"/>
        </w:trPr>
        <w:tc>
          <w:tcPr>
            <w:tcW w:w="5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w:t>
            </w:r>
          </w:p>
        </w:tc>
        <w:tc>
          <w:tcPr>
            <w:tcW w:w="9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62,778</w:t>
            </w:r>
          </w:p>
        </w:tc>
      </w:tr>
      <w:tr>
        <w:trPr>
          <w:trHeight w:val="229"/>
        </w:trPr>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w:t>
            </w:r>
          </w:p>
        </w:tc>
        <w:tc>
          <w:tcPr>
            <w:tcW w:w="9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(182,546)</w:t>
            </w:r>
          </w:p>
        </w:tc>
      </w:tr>
      <w:tr>
        <w:trPr>
          <w:trHeight w:val="229"/>
        </w:trPr>
        <w:tc>
          <w:tcPr>
            <w:tcW w:w="5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unrealized value</w:t>
            </w:r>
          </w:p>
        </w:tc>
        <w:tc>
          <w:tcPr>
            <w:tcW w:w="9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r>
      <w:tr>
        <w:trPr>
          <w:trHeight w:val="230"/>
        </w:trPr>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Deconsolidation</w:t>
            </w:r>
          </w:p>
        </w:tc>
        <w:tc>
          <w:tcPr>
            <w:tcW w:w="9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0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900" w:type="dxa"/>
            <w:vAlign w:val="bottom"/>
            <w:tcBorders>
              <w:top w:val="single" w:sz="8" w:color="auto"/>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at fair value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90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53,810</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132,619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84,602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140,760</w:t>
            </w:r>
          </w:p>
        </w:tc>
      </w:tr>
      <w:tr>
        <w:trPr>
          <w:trHeight w:val="230"/>
        </w:trPr>
        <w:tc>
          <w:tcPr>
            <w:tcW w:w="5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unrealized value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(5,100)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w:t>
            </w:r>
          </w:p>
        </w:tc>
      </w:tr>
      <w:tr>
        <w:trPr>
          <w:trHeight w:val="23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9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(18,646)</w:t>
            </w:r>
          </w:p>
        </w:tc>
      </w:tr>
      <w:tr>
        <w:trPr>
          <w:trHeight w:val="248"/>
        </w:trPr>
        <w:tc>
          <w:tcPr>
            <w:tcW w:w="50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900" w:type="dxa"/>
            <w:vAlign w:val="bottom"/>
            <w:tcBorders>
              <w:top w:val="single" w:sz="8" w:color="auto"/>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48,710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111,052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Total realized and unrealized gains and losses recorded for Level III assets carried at fair value are reported in net gains (losses) from investment activities in the Condensed Consolidated Statements of Operations. Total realized and unrealized gains and losses recorded for Level III liabilities carried at fair value are reported in interest, dividends and other in the Condensed Consolidated Statements of Operations.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following tables provide qualitative information about instruments categorized in Level III of the fair value hierarchy as of September 30, 2026 and December 31, 2025. In addition to the techniques and inputs noted in the table below, in accordance with the valuation policy, other valuation techniques and methodologies are used when determining fair value measurements. The below table is not intended to be all-inclusive, but rather provides information on the significant Level III inputs as they relate to the Company’s fair value measurements (fair value measurements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 at fair value</w:t>
      </w:r>
    </w:p>
    <w:p>
      <w:pPr>
        <w:spacing w:after="0" w:line="31" w:lineRule="exact"/>
        <w:rPr>
          <w:sz w:val="20"/>
          <w:szCs w:val="20"/>
          <w:color w:val="auto"/>
        </w:rPr>
      </w:pPr>
    </w:p>
    <w:p>
      <w:pPr>
        <w:ind w:left="240"/>
        <w:spacing w:after="0" w:line="245" w:lineRule="auto"/>
        <w:rPr>
          <w:sz w:val="20"/>
          <w:szCs w:val="20"/>
          <w:color w:val="auto"/>
        </w:rPr>
      </w:pPr>
      <w:r>
        <w:rPr>
          <w:rFonts w:ascii="Times New Roman" w:cs="Times New Roman" w:eastAsia="Times New Roman" w:hAnsi="Times New Roman"/>
          <w:sz w:val="18"/>
          <w:szCs w:val="18"/>
          <w:color w:val="auto"/>
        </w:rPr>
        <w:t>Aggregate Annual Cash Holdback Amount</w:t>
      </w:r>
    </w:p>
    <w:p>
      <w:pPr>
        <w:spacing w:after="0" w:line="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Earnout Payment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60" w:type="dxa"/>
            <w:vAlign w:val="bottom"/>
          </w:tcPr>
          <w:p>
            <w:pPr>
              <w:spacing w:after="0"/>
              <w:rPr>
                <w:sz w:val="16"/>
                <w:szCs w:val="16"/>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Fair Value as of</w:t>
            </w: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Valuation Technique(s)</w:t>
            </w:r>
          </w:p>
        </w:tc>
        <w:tc>
          <w:tcPr>
            <w:tcW w:w="80" w:type="dxa"/>
            <w:vAlign w:val="bottom"/>
            <w:vMerge w:val="restart"/>
          </w:tcPr>
          <w:p>
            <w:pPr>
              <w:spacing w:after="0"/>
              <w:rPr>
                <w:sz w:val="16"/>
                <w:szCs w:val="16"/>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Unobservable Input(s)</w:t>
            </w:r>
            <w:r>
              <w:rPr>
                <w:rFonts w:ascii="Times New Roman" w:cs="Times New Roman" w:eastAsia="Times New Roman" w:hAnsi="Times New Roman"/>
                <w:sz w:val="21"/>
                <w:szCs w:val="21"/>
                <w:b w:val="1"/>
                <w:bCs w:val="1"/>
                <w:color w:val="auto"/>
                <w:w w:val="98"/>
                <w:vertAlign w:val="superscript"/>
              </w:rPr>
              <w:t>(a)</w:t>
            </w:r>
          </w:p>
        </w:tc>
        <w:tc>
          <w:tcPr>
            <w:tcW w:w="100" w:type="dxa"/>
            <w:vAlign w:val="bottom"/>
            <w:vMerge w:val="restart"/>
          </w:tcPr>
          <w:p>
            <w:pPr>
              <w:spacing w:after="0"/>
              <w:rPr>
                <w:sz w:val="16"/>
                <w:szCs w:val="16"/>
                <w:color w:val="auto"/>
              </w:rPr>
            </w:pPr>
          </w:p>
        </w:tc>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Range (Weighted Average)</w:t>
            </w:r>
            <w:r>
              <w:rPr>
                <w:rFonts w:ascii="Times New Roman" w:cs="Times New Roman" w:eastAsia="Times New Roman" w:hAnsi="Times New Roman"/>
                <w:sz w:val="21"/>
                <w:szCs w:val="21"/>
                <w:b w:val="1"/>
                <w:bCs w:val="1"/>
                <w:color w:val="auto"/>
                <w:w w:val="98"/>
                <w:vertAlign w:val="superscript"/>
              </w:rPr>
              <w:t>(b)</w:t>
            </w:r>
          </w:p>
        </w:tc>
        <w:tc>
          <w:tcPr>
            <w:tcW w:w="0" w:type="dxa"/>
            <w:vAlign w:val="bottom"/>
          </w:tcPr>
          <w:p>
            <w:pPr>
              <w:spacing w:after="0"/>
              <w:rPr>
                <w:sz w:val="1"/>
                <w:szCs w:val="1"/>
                <w:color w:val="auto"/>
              </w:rPr>
            </w:pPr>
          </w:p>
        </w:tc>
      </w:tr>
      <w:tr>
        <w:trPr>
          <w:trHeight w:val="216"/>
        </w:trPr>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00" w:type="dxa"/>
            <w:vAlign w:val="bottom"/>
          </w:tcPr>
          <w:p>
            <w:pPr>
              <w:spacing w:after="0"/>
              <w:rPr>
                <w:sz w:val="18"/>
                <w:szCs w:val="18"/>
                <w:color w:val="auto"/>
              </w:rPr>
            </w:pPr>
          </w:p>
        </w:tc>
        <w:tc>
          <w:tcPr>
            <w:tcW w:w="208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34"/>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48,451</w:t>
            </w:r>
          </w:p>
        </w:tc>
        <w:tc>
          <w:tcPr>
            <w:tcW w:w="100" w:type="dxa"/>
            <w:vAlign w:val="bottom"/>
          </w:tcPr>
          <w:p>
            <w:pPr>
              <w:spacing w:after="0"/>
              <w:rPr>
                <w:sz w:val="24"/>
                <w:szCs w:val="24"/>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Present value</w:t>
            </w:r>
          </w:p>
        </w:tc>
        <w:tc>
          <w:tcPr>
            <w:tcW w:w="21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Discount rate</w:t>
            </w:r>
          </w:p>
        </w:tc>
        <w:tc>
          <w:tcPr>
            <w:tcW w:w="202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9"/>
        </w:trPr>
        <w:tc>
          <w:tcPr>
            <w:tcW w:w="160" w:type="dxa"/>
            <w:vAlign w:val="bottom"/>
          </w:tcPr>
          <w:p>
            <w:pPr>
              <w:spacing w:after="0"/>
              <w:rPr>
                <w:sz w:val="24"/>
                <w:szCs w:val="24"/>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4"/>
                <w:szCs w:val="24"/>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Multiple probability</w:t>
            </w:r>
          </w:p>
        </w:tc>
        <w:tc>
          <w:tcPr>
            <w:tcW w:w="2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Estimated revenue</w:t>
            </w:r>
          </w:p>
        </w:tc>
        <w:tc>
          <w:tcPr>
            <w:tcW w:w="2020" w:type="dxa"/>
            <w:vAlign w:val="bottom"/>
            <w:vMerge w:val="restart"/>
          </w:tcPr>
          <w:p>
            <w:pPr>
              <w:jc w:val="right"/>
              <w:ind w:right="693"/>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140"/>
        </w:trPr>
        <w:tc>
          <w:tcPr>
            <w:tcW w:w="16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simulation</w:t>
            </w:r>
          </w:p>
        </w:tc>
        <w:tc>
          <w:tcPr>
            <w:tcW w:w="2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8"/>
              </w:rPr>
              <w:t>volatility</w:t>
            </w: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2120" w:type="dxa"/>
            <w:vAlign w:val="bottom"/>
            <w:gridSpan w:val="2"/>
            <w:vMerge w:val="continue"/>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-676910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-265430</wp:posOffset>
            </wp:positionV>
            <wp:extent cx="713232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hanging="1244"/>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11569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5697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43180</wp:posOffset>
            </wp:positionV>
            <wp:extent cx="11569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56970" cy="8890"/>
                    </a:xfrm>
                    <a:prstGeom prst="rect">
                      <a:avLst/>
                    </a:prstGeom>
                    <a:noFill/>
                  </pic:spPr>
                </pic:pic>
              </a:graphicData>
            </a:graphic>
          </wp:anchor>
        </w:drawing>
      </w:r>
    </w:p>
    <w:p>
      <w:pPr>
        <w:spacing w:after="0" w:line="423" w:lineRule="exact"/>
        <w:rPr>
          <w:sz w:val="20"/>
          <w:szCs w:val="20"/>
          <w:color w:val="auto"/>
        </w:rPr>
      </w:pPr>
    </w:p>
    <w:p>
      <w:pPr>
        <w:sectPr>
          <w:pgSz w:w="11900" w:h="16838" w:orient="portrait"/>
          <w:cols w:equalWidth="0" w:num="2">
            <w:col w:w="2720" w:space="300"/>
            <w:col w:w="8220"/>
          </w:cols>
          <w:pgMar w:left="320" w:top="121" w:right="339" w:bottom="1440" w:gutter="0" w:footer="0" w:header="0"/>
          <w:type w:val="continuous"/>
        </w:sectPr>
      </w:pPr>
    </w:p>
    <w:p>
      <w:pPr>
        <w:jc w:val="both"/>
        <w:ind w:left="500" w:hanging="492"/>
        <w:spacing w:after="0" w:line="281" w:lineRule="auto"/>
        <w:tabs>
          <w:tab w:leader="none" w:pos="49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determining certain of these inputs, management evaluates a variety of factors including economic conditions, industry and market developments, market valuations of comparable companies and company-specific developments including exit strategies and realization opportunities. Management has determined that market participants would take these inputs into account when valuing the instruments.</w:t>
      </w:r>
    </w:p>
    <w:p>
      <w:pPr>
        <w:spacing w:after="0" w:line="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Inputs weighted based on fair value of instruments in range.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Fair Value as of</w:t>
            </w:r>
          </w:p>
        </w:tc>
        <w:tc>
          <w:tcPr>
            <w:tcW w:w="80" w:type="dxa"/>
            <w:vAlign w:val="bottom"/>
          </w:tcPr>
          <w:p>
            <w:pPr>
              <w:spacing w:after="0"/>
              <w:rPr>
                <w:sz w:val="16"/>
                <w:szCs w:val="16"/>
                <w:color w:val="auto"/>
              </w:rPr>
            </w:pPr>
          </w:p>
        </w:tc>
        <w:tc>
          <w:tcPr>
            <w:tcW w:w="2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Valuation Technique(s)</w:t>
            </w:r>
          </w:p>
        </w:tc>
        <w:tc>
          <w:tcPr>
            <w:tcW w:w="2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Unobservable Input(s)</w:t>
            </w:r>
            <w:r>
              <w:rPr>
                <w:rFonts w:ascii="Times New Roman" w:cs="Times New Roman" w:eastAsia="Times New Roman" w:hAnsi="Times New Roman"/>
                <w:sz w:val="21"/>
                <w:szCs w:val="21"/>
                <w:b w:val="1"/>
                <w:bCs w:val="1"/>
                <w:color w:val="auto"/>
                <w:w w:val="98"/>
                <w:vertAlign w:val="superscript"/>
              </w:rPr>
              <w:t>(a)</w:t>
            </w:r>
          </w:p>
        </w:tc>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Range (Weighted Average)</w:t>
            </w:r>
            <w:r>
              <w:rPr>
                <w:rFonts w:ascii="Times New Roman" w:cs="Times New Roman" w:eastAsia="Times New Roman" w:hAnsi="Times New Roman"/>
                <w:sz w:val="21"/>
                <w:szCs w:val="21"/>
                <w:b w:val="1"/>
                <w:bCs w:val="1"/>
                <w:color w:val="auto"/>
                <w:w w:val="98"/>
                <w:vertAlign w:val="superscript"/>
              </w:rPr>
              <w:t>(b)</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0" w:type="dxa"/>
            <w:vAlign w:val="bottom"/>
          </w:tcPr>
          <w:p>
            <w:pPr>
              <w:spacing w:after="0"/>
              <w:rPr>
                <w:sz w:val="18"/>
                <w:szCs w:val="18"/>
                <w:color w:val="auto"/>
              </w:rPr>
            </w:pPr>
          </w:p>
        </w:tc>
        <w:tc>
          <w:tcPr>
            <w:tcW w:w="2240" w:type="dxa"/>
            <w:vAlign w:val="bottom"/>
            <w:gridSpan w:val="2"/>
            <w:vMerge w:val="continue"/>
          </w:tcPr>
          <w:p>
            <w:pPr>
              <w:spacing w:after="0"/>
              <w:rPr>
                <w:sz w:val="18"/>
                <w:szCs w:val="18"/>
                <w:color w:val="auto"/>
              </w:rPr>
            </w:pPr>
          </w:p>
        </w:tc>
        <w:tc>
          <w:tcPr>
            <w:tcW w:w="2120" w:type="dxa"/>
            <w:vAlign w:val="bottom"/>
            <w:gridSpan w:val="2"/>
            <w:vMerge w:val="continue"/>
          </w:tcPr>
          <w:p>
            <w:pPr>
              <w:spacing w:after="0"/>
              <w:rPr>
                <w:sz w:val="18"/>
                <w:szCs w:val="18"/>
                <w:color w:val="auto"/>
              </w:rPr>
            </w:pPr>
          </w:p>
        </w:tc>
        <w:tc>
          <w:tcPr>
            <w:tcW w:w="2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at fair value</w:t>
            </w: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0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Aggregate Annual Cash Holdback</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70,875</w:t>
            </w:r>
          </w:p>
        </w:tc>
        <w:tc>
          <w:tcPr>
            <w:tcW w:w="80" w:type="dxa"/>
            <w:vAlign w:val="bottom"/>
          </w:tcPr>
          <w:p>
            <w:pPr>
              <w:spacing w:after="0"/>
              <w:rPr>
                <w:sz w:val="15"/>
                <w:szCs w:val="15"/>
                <w:color w:val="auto"/>
              </w:rPr>
            </w:pPr>
          </w:p>
        </w:tc>
        <w:tc>
          <w:tcPr>
            <w:tcW w:w="2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Present value</w:t>
            </w:r>
          </w:p>
        </w:tc>
        <w:tc>
          <w:tcPr>
            <w:tcW w:w="21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Discount rate</w:t>
            </w:r>
          </w:p>
        </w:tc>
        <w:tc>
          <w:tcPr>
            <w:tcW w:w="2020" w:type="dxa"/>
            <w:vAlign w:val="bottom"/>
            <w:vMerge w:val="restart"/>
          </w:tcPr>
          <w:p>
            <w:pPr>
              <w:jc w:val="right"/>
              <w:ind w:right="733"/>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49"/>
        </w:trPr>
        <w:tc>
          <w:tcPr>
            <w:tcW w:w="30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0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1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02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Earnout Payment</w:t>
            </w:r>
          </w:p>
        </w:tc>
        <w:tc>
          <w:tcPr>
            <w:tcW w:w="16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13,727</w:t>
            </w:r>
          </w:p>
        </w:tc>
        <w:tc>
          <w:tcPr>
            <w:tcW w:w="8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jc w:val="center"/>
              <w:ind w:right="80"/>
              <w:spacing w:after="0" w:line="180" w:lineRule="exact"/>
              <w:rPr>
                <w:sz w:val="20"/>
                <w:szCs w:val="20"/>
                <w:color w:val="auto"/>
              </w:rPr>
            </w:pPr>
            <w:r>
              <w:rPr>
                <w:rFonts w:ascii="Times New Roman" w:cs="Times New Roman" w:eastAsia="Times New Roman" w:hAnsi="Times New Roman"/>
                <w:sz w:val="18"/>
                <w:szCs w:val="18"/>
                <w:color w:val="auto"/>
                <w:w w:val="98"/>
              </w:rPr>
              <w:t>Multiple probability</w:t>
            </w:r>
          </w:p>
        </w:tc>
        <w:tc>
          <w:tcPr>
            <w:tcW w:w="2120" w:type="dxa"/>
            <w:vAlign w:val="bottom"/>
            <w:gridSpan w:val="2"/>
            <w:shd w:val="clear" w:color="auto" w:fill="CCEEFF"/>
          </w:tcPr>
          <w:p>
            <w:pPr>
              <w:jc w:val="center"/>
              <w:ind w:right="100"/>
              <w:spacing w:after="0" w:line="180" w:lineRule="exact"/>
              <w:rPr>
                <w:sz w:val="20"/>
                <w:szCs w:val="20"/>
                <w:color w:val="auto"/>
              </w:rPr>
            </w:pPr>
            <w:r>
              <w:rPr>
                <w:rFonts w:ascii="Times New Roman" w:cs="Times New Roman" w:eastAsia="Times New Roman" w:hAnsi="Times New Roman"/>
                <w:sz w:val="18"/>
                <w:szCs w:val="18"/>
                <w:color w:val="auto"/>
              </w:rPr>
              <w:t>Estimated revenue</w:t>
            </w:r>
          </w:p>
        </w:tc>
        <w:tc>
          <w:tcPr>
            <w:tcW w:w="2020" w:type="dxa"/>
            <w:vAlign w:val="bottom"/>
            <w:vMerge w:val="restart"/>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148"/>
        </w:trPr>
        <w:tc>
          <w:tcPr>
            <w:tcW w:w="302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4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simulation</w:t>
            </w:r>
          </w:p>
        </w:tc>
        <w:tc>
          <w:tcPr>
            <w:tcW w:w="21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volatility</w:t>
            </w:r>
          </w:p>
        </w:tc>
        <w:tc>
          <w:tcPr>
            <w:tcW w:w="20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02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60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40" w:type="dxa"/>
            <w:vAlign w:val="bottom"/>
            <w:gridSpan w:val="2"/>
            <w:vMerge w:val="continue"/>
            <w:shd w:val="clear" w:color="auto" w:fill="CCEEFF"/>
          </w:tcPr>
          <w:p>
            <w:pPr>
              <w:spacing w:after="0"/>
              <w:rPr>
                <w:sz w:val="7"/>
                <w:szCs w:val="7"/>
                <w:color w:val="auto"/>
              </w:rPr>
            </w:pPr>
          </w:p>
        </w:tc>
        <w:tc>
          <w:tcPr>
            <w:tcW w:w="2120" w:type="dxa"/>
            <w:vAlign w:val="bottom"/>
            <w:gridSpan w:val="2"/>
            <w:vMerge w:val="continue"/>
            <w:shd w:val="clear" w:color="auto" w:fill="CCEEFF"/>
          </w:tcPr>
          <w:p>
            <w:pPr>
              <w:spacing w:after="0"/>
              <w:rPr>
                <w:sz w:val="7"/>
                <w:szCs w:val="7"/>
                <w:color w:val="auto"/>
              </w:rPr>
            </w:pPr>
          </w:p>
        </w:tc>
        <w:tc>
          <w:tcPr>
            <w:tcW w:w="2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30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84,602</w:t>
            </w:r>
          </w:p>
        </w:tc>
        <w:tc>
          <w:tcPr>
            <w:tcW w:w="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59" w:lineRule="exact"/>
        <w:rPr>
          <w:sz w:val="20"/>
          <w:szCs w:val="20"/>
          <w:color w:val="auto"/>
        </w:rPr>
      </w:pPr>
    </w:p>
    <w:p>
      <w:pPr>
        <w:jc w:val="both"/>
        <w:ind w:left="500" w:hanging="492"/>
        <w:spacing w:after="0" w:line="271" w:lineRule="auto"/>
        <w:tabs>
          <w:tab w:leader="none" w:pos="49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determining certain of these inputs, management evaluates a variety of factors including economic conditions, industry and market developments, market valuations of comparable companies and company-specific developments including exit strategies and realization opportunities. Management has determined that market participants would take these inputs into account when valuing the instruments.</w:t>
      </w:r>
    </w:p>
    <w:p>
      <w:pPr>
        <w:spacing w:after="0" w:line="2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Inputs weighted based on fair value of instruments in range.</w:t>
      </w:r>
    </w:p>
    <w:p>
      <w:pPr>
        <w:spacing w:after="0" w:line="231" w:lineRule="exact"/>
        <w:rPr>
          <w:sz w:val="20"/>
          <w:szCs w:val="20"/>
          <w:color w:val="auto"/>
        </w:rPr>
      </w:pPr>
    </w:p>
    <w:p>
      <w:pPr>
        <w:ind w:left="500" w:right="8660" w:hanging="492"/>
        <w:spacing w:after="0" w:line="532" w:lineRule="auto"/>
        <w:tabs>
          <w:tab w:leader="none" w:pos="194"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Intangible Assets and Goodwill </w:t>
      </w:r>
      <w:r>
        <w:rPr>
          <w:rFonts w:ascii="Times New Roman" w:cs="Times New Roman" w:eastAsia="Times New Roman" w:hAnsi="Times New Roman"/>
          <w:sz w:val="17"/>
          <w:szCs w:val="17"/>
          <w:b w:val="1"/>
          <w:bCs w:val="1"/>
          <w:i w:val="1"/>
          <w:iCs w:val="1"/>
          <w:color w:val="auto"/>
        </w:rPr>
        <w:t>Intangible Assets, Net</w:t>
      </w:r>
    </w:p>
    <w:p>
      <w:pPr>
        <w:spacing w:after="0" w:line="1" w:lineRule="exact"/>
        <w:rPr>
          <w:rFonts w:ascii="Times New Roman" w:cs="Times New Roman" w:eastAsia="Times New Roman" w:hAnsi="Times New Roman"/>
          <w:sz w:val="17"/>
          <w:szCs w:val="17"/>
          <w:b w:val="1"/>
          <w:bCs w:val="1"/>
          <w:color w:val="auto"/>
        </w:rPr>
      </w:pPr>
    </w:p>
    <w:p>
      <w:pPr>
        <w:ind w:left="5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following table summarizes the carrying values of intangible assets as of September 30, 2026 and December 31, 2025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158"/>
        </w:trPr>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ind w:right="52"/>
              <w:spacing w:after="0" w:line="158" w:lineRule="exact"/>
              <w:rPr>
                <w:sz w:val="20"/>
                <w:szCs w:val="20"/>
                <w:color w:val="auto"/>
              </w:rPr>
            </w:pPr>
            <w:r>
              <w:rPr>
                <w:rFonts w:ascii="Times New Roman" w:cs="Times New Roman" w:eastAsia="Times New Roman" w:hAnsi="Times New Roman"/>
                <w:sz w:val="16"/>
                <w:szCs w:val="16"/>
                <w:b w:val="1"/>
                <w:bCs w:val="1"/>
                <w:color w:val="auto"/>
                <w:w w:val="98"/>
              </w:rPr>
              <w:t>Gross Carrying</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3"/>
                <w:szCs w:val="13"/>
                <w:color w:val="auto"/>
              </w:rPr>
            </w:pPr>
          </w:p>
        </w:tc>
        <w:tc>
          <w:tcPr>
            <w:tcW w:w="1200" w:type="dxa"/>
            <w:vAlign w:val="bottom"/>
          </w:tcPr>
          <w:p>
            <w:pPr>
              <w:jc w:val="center"/>
              <w:ind w:right="72"/>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60" w:type="dxa"/>
            <w:vAlign w:val="bottom"/>
          </w:tcPr>
          <w:p>
            <w:pPr>
              <w:spacing w:after="0"/>
              <w:rPr>
                <w:sz w:val="13"/>
                <w:szCs w:val="13"/>
                <w:color w:val="auto"/>
              </w:rPr>
            </w:pPr>
          </w:p>
        </w:tc>
        <w:tc>
          <w:tcPr>
            <w:tcW w:w="128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3"/>
                <w:szCs w:val="13"/>
                <w:color w:val="auto"/>
              </w:rPr>
            </w:pPr>
          </w:p>
        </w:tc>
        <w:tc>
          <w:tcPr>
            <w:tcW w:w="1180" w:type="dxa"/>
            <w:vAlign w:val="bottom"/>
          </w:tcPr>
          <w:p>
            <w:pPr>
              <w:jc w:val="right"/>
              <w:ind w:right="132"/>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14"/>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80" w:type="dxa"/>
            <w:vAlign w:val="bottom"/>
          </w:tcPr>
          <w:p>
            <w:pPr>
              <w:spacing w:after="0"/>
              <w:rPr>
                <w:sz w:val="18"/>
                <w:szCs w:val="18"/>
                <w:color w:val="auto"/>
              </w:rPr>
            </w:pPr>
          </w:p>
        </w:tc>
        <w:tc>
          <w:tcPr>
            <w:tcW w:w="118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157"/>
        </w:trPr>
        <w:tc>
          <w:tcPr>
            <w:tcW w:w="266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8"/>
                <w:szCs w:val="18"/>
                <w:color w:val="auto"/>
              </w:rPr>
              <w:t>Contractual performance fee</w:t>
            </w:r>
          </w:p>
        </w:tc>
        <w:tc>
          <w:tcPr>
            <w:tcW w:w="12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r>
      <w:tr>
        <w:trPr>
          <w:trHeight w:val="243"/>
        </w:trPr>
        <w:tc>
          <w:tcPr>
            <w:tcW w:w="26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allocations</w:t>
            </w:r>
            <w:r>
              <w:rPr>
                <w:rFonts w:ascii="Times New Roman" w:cs="Times New Roman" w:eastAsia="Times New Roman" w:hAnsi="Times New Roman"/>
                <w:sz w:val="23"/>
                <w:szCs w:val="23"/>
                <w:color w:val="auto"/>
                <w:vertAlign w:val="superscript"/>
              </w:rPr>
              <w:t>(a)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378,200</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(188,378)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189,822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(145,052)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233,148</w:t>
            </w:r>
          </w:p>
        </w:tc>
      </w:tr>
      <w:tr>
        <w:trPr>
          <w:trHeight w:val="230"/>
        </w:trPr>
        <w:tc>
          <w:tcPr>
            <w:tcW w:w="2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Management contracts</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325,064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376,484</w:t>
            </w: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21,083</w:t>
            </w:r>
          </w:p>
        </w:tc>
      </w:tr>
      <w:tr>
        <w:trPr>
          <w:trHeight w:val="229"/>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Investor relationships</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15,625</w:t>
            </w:r>
          </w:p>
        </w:tc>
      </w:tr>
      <w:tr>
        <w:trPr>
          <w:trHeight w:val="230"/>
        </w:trPr>
        <w:tc>
          <w:tcPr>
            <w:tcW w:w="2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Trade name</w:t>
            </w:r>
            <w:r>
              <w:rPr>
                <w:rFonts w:ascii="Times New Roman" w:cs="Times New Roman" w:eastAsia="Times New Roman" w:hAnsi="Times New Roman"/>
                <w:sz w:val="23"/>
                <w:szCs w:val="23"/>
                <w:color w:val="auto"/>
                <w:vertAlign w:val="superscript"/>
              </w:rPr>
              <w:t>(a)</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11,172</w:t>
            </w:r>
          </w:p>
        </w:tc>
      </w:tr>
      <w:tr>
        <w:trPr>
          <w:trHeight w:val="230"/>
        </w:trPr>
        <w:tc>
          <w:tcPr>
            <w:tcW w:w="26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intangible assets</w:t>
            </w:r>
            <w:r>
              <w:rPr>
                <w:rFonts w:ascii="Times New Roman" w:cs="Times New Roman" w:eastAsia="Times New Roman" w:hAnsi="Times New Roman"/>
                <w:sz w:val="23"/>
                <w:szCs w:val="23"/>
                <w:color w:val="auto"/>
                <w:vertAlign w:val="superscript"/>
              </w:rPr>
              <w:t>(a), (b)</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w:t>
            </w:r>
          </w:p>
        </w:tc>
      </w:tr>
      <w:tr>
        <w:trPr>
          <w:trHeight w:val="248"/>
        </w:trPr>
        <w:tc>
          <w:tcPr>
            <w:tcW w:w="2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intangible assets,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938,394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551,458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938,394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(278,555)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659,839</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9" w:lineRule="exact"/>
        <w:rPr>
          <w:sz w:val="20"/>
          <w:szCs w:val="20"/>
          <w:color w:val="auto"/>
        </w:rPr>
      </w:pPr>
    </w:p>
    <w:p>
      <w:pPr>
        <w:ind w:left="500" w:hanging="492"/>
        <w:spacing w:after="0" w:line="282" w:lineRule="auto"/>
        <w:tabs>
          <w:tab w:leader="none" w:pos="49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intangible assets with a net carrying value of $192.8 million as of September 30, 2026 related to the acquisition of Peppertree described in Note 3 to the Condensed Consolidated Financial Statements.</w:t>
      </w:r>
    </w:p>
    <w:p>
      <w:pPr>
        <w:spacing w:after="0" w:line="13"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indefinite-lived intangible assets of $1.0 million as of September 30, 2026 and December 31, 2025.</w:t>
      </w:r>
    </w:p>
    <w:p>
      <w:pPr>
        <w:spacing w:after="0" w:line="2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recognized no impairment losses on intangible assets during the three and nine months ended September 30, 2026 and 2025.</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Intangible asset amortization expense was $36.1 million and $108.4 million for the three and nine months ended September 30, 2026, respectively, and $36.0 million and $88.5 million for the three and nine months ended September 30, 2025, respectively.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estimated remaining amortization expense for finite-lived intangible assets that existed as of September 30, 2026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36,127</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141,258</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120,415</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94,810</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2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46,616</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111,238</w:t>
            </w:r>
          </w:p>
        </w:tc>
      </w:tr>
      <w:tr>
        <w:trPr>
          <w:trHeight w:val="248"/>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550,464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2026 and December 31, 2025, the carrying value of the Company’s goodwill was $498.2 million.</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2026, there have been no impairment losses recognized on goodwill.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Variable Interest Entities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consolidates VIEs in which it is considered the primary beneficiary as described in Note 2 to the Condensed Consolidated Financial Statements. TPG’s investment strategies differ by TPG fund; however, the fundamental risks have similar characteristics, including loss of invested capital and loss of management fees and performance allocations. The Company does not provide performance guarantees and has no other financial obligation to provide funding to consolidated VIEs other than its own capital commitments.</w:t>
      </w:r>
    </w:p>
    <w:p>
      <w:pPr>
        <w:spacing w:after="0" w:line="18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assets of consolidated VIEs may only be used to settle obligations of these consolidated VIEs. In addition, there is no recourse to the Company for the consolidated VIEs’ liabilities.</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holds variable interests in certain VIEs which are not consolidated as it is determined that the Company is not the primary beneficiary. The Company’s involvement with such entities is in the form of direct equity interests and fee arrangements. The fundamental risks have similar characteristics, including loss of invested capital and loss of management fees and performance allocations. Accordingly, disaggregation of TPG’s involvement by type of VIE would not provide more useful information. TPG may have an obligation as general partner to provide commitments to unconsolidated VIEs. For the three and nine months ended September 30, 2026 and 2025, TPG did not provide any amounts to unconsolidated VIEs other than its obligated commitments.</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maximum exposure to loss represents the loss of assets recognized by TPG relating to non-consolidated entities and any amounts due to non-consolidated entities.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assets and liabilities recognized in the Company’s Condensed Consolidated Statements of Financial Condition related to its interest in these non-consolidated VIEs and its maximum exposure to loss relating to non-consolidated VIEs were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40" w:type="dxa"/>
            <w:vAlign w:val="bottom"/>
          </w:tcPr>
          <w:p>
            <w:pPr>
              <w:spacing w:after="0"/>
              <w:rPr>
                <w:sz w:val="18"/>
                <w:szCs w:val="18"/>
                <w:color w:val="auto"/>
              </w:rPr>
            </w:pPr>
          </w:p>
        </w:tc>
        <w:tc>
          <w:tcPr>
            <w:tcW w:w="182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08"/>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(includes assets pledged of $389,633 and $521,124 as of September 30, 2026 and</w:t>
            </w:r>
          </w:p>
        </w:tc>
        <w:tc>
          <w:tcPr>
            <w:tcW w:w="22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1,257,497</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1,774,815</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affiliates</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269,779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408,022</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Potential clawback obligation</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2,608,681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2,456,516</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to affiliates</w:t>
            </w: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68,674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72,266</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Maximum exposure to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4,204,631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4,711,619</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7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Additionally, cumulative performance allocations of $8.2 billion and $7.3 billion as of September 30, 2026 and December 31, 2025, respectively, are subject to reversal in the event of future losses.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RemainCo</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TPG Operating Group and RemainCo entered into certain agreements to effectuate the go-forward relationship between the entities. The arrangements discussed below represent the TPG Operating Group’s variable interests in RemainCo, which do not provide the TPG Operating Group with the power to direct the activities that most significantly impact RemainCo’s performance and operations. As a result, RemainCo represents a non-consolidated VIE.</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RemainCo Administrative Services Agreement</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TPG Operating Group has entered into an administrative services agreement with RemainCo whereby the TPG Operating Group provides RemainCo with certain administrative services, including maintaining RemainCo’s books and records, tax and financial reporting and similar support which began on January 1, 2022. In exchange for these services, RemainCo pays the TPG Operating Group an annual administration fee in the amount of 1% per annum of the net asset value of RemainCo’s assets, with such amount payable quarterly in advance and recorded in expense reimbursements and other within revenues in the Condensed Consolidated Statements of Operations.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Securitization Vehicles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Certain subsidiaries of the Company issued $250.0 million in privately placed Secured Notes. The Company used one or more special purpose entities that are considered VIEs to issue notes to third-party investors in the securitization transactions.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the carrying amount of Secured Notes issued by the VIEs was $246.4 million and $246.2 million, respectively, and is shown in the Company’s Condensed Consolidated Statements of Financial Condition as debt obligations, net of unamortized issuance costs of $3.6 million and $3.8 million, respectively.</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depicts the total assets and liabilities related to VIE securitization transactions included in the Company’s Condensed Consolidated Statements of Financial Condition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40" w:type="dxa"/>
            <w:vAlign w:val="bottom"/>
          </w:tcPr>
          <w:p>
            <w:pPr>
              <w:spacing w:after="0"/>
              <w:rPr>
                <w:sz w:val="18"/>
                <w:szCs w:val="18"/>
                <w:color w:val="auto"/>
              </w:rPr>
            </w:pPr>
          </w:p>
        </w:tc>
        <w:tc>
          <w:tcPr>
            <w:tcW w:w="182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13,166</w:t>
            </w:r>
          </w:p>
        </w:tc>
      </w:tr>
      <w:tr>
        <w:trPr>
          <w:trHeight w:val="27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Participation rights receivable</w:t>
            </w:r>
            <w:r>
              <w:rPr>
                <w:rFonts w:ascii="Times New Roman" w:cs="Times New Roman" w:eastAsia="Times New Roman" w:hAnsi="Times New Roman"/>
                <w:sz w:val="23"/>
                <w:szCs w:val="23"/>
                <w:color w:val="auto"/>
                <w:vertAlign w:val="superscript"/>
              </w:rPr>
              <w:t>(a)</w:t>
            </w: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389,633</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521,124</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from affiliates</w:t>
            </w: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48"/>
        </w:trPr>
        <w:tc>
          <w:tcPr>
            <w:tcW w:w="7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418,211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540,198</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affiliates and other</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notes, net</w:t>
            </w: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246,414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246,183</w:t>
            </w:r>
          </w:p>
        </w:tc>
      </w:tr>
      <w:tr>
        <w:trPr>
          <w:trHeight w:val="223"/>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256,684</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246,505</w:t>
            </w:r>
          </w:p>
        </w:tc>
      </w:tr>
      <w:tr>
        <w:trPr>
          <w:trHeight w:val="20"/>
        </w:trPr>
        <w:tc>
          <w:tcPr>
            <w:tcW w:w="7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68" w:lineRule="exact"/>
        <w:rPr>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Participation rights receivable related to VIE securitization transactions are included in investments in the Company’s Condensed Consolidated Statements of Financial Condition</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 Obligations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February 26, 2026, the Notes Issuer completed an offering of $500.0 million aggregate principal amount of Senior Notes due 2031 (the “2031 Senior Notes”). The 2031 Senior Notes will mature on May 15, 2031, unless earlier accelerated, redeemed or repurchased. The 2031 Senior Notes are fully and unconditionally guaranteed, jointly and severally, by each of the Guarantors, and are unsecured and unsubordinated obligations of the Notes Issuer and the Guarantors. The 2031 Senior Notes bear interest at a rate of 4.875% per annum, which is payable semi-annually in arrears on May 15 and November 15 of each year, beginning on November 15, 2026. The 2031 Senior Notes contain certain covenants which, subject to certain limitations, restrict the ability of the Notes Issuer and, as applicable, the Guarantors to merge, consolidate or sell, assign, transfer, lease or convey all or substantially all of their combined assets, or create liens on the voting stock of their subsidiaries. Transaction costs related to the 2031 Senior Notes issuance have been capitalized and are amortized over the life of the 2031 Senior Notes.</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and its subsidiaries’ debt obligations (in thousands):</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3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80" w:type="dxa"/>
            <w:vAlign w:val="bottom"/>
            <w:gridSpan w:val="4"/>
          </w:tcPr>
          <w:p>
            <w:pPr>
              <w:ind w:left="160"/>
              <w:spacing w:after="0"/>
              <w:rPr>
                <w:sz w:val="20"/>
                <w:szCs w:val="20"/>
                <w:color w:val="auto"/>
              </w:rPr>
            </w:pPr>
            <w:r>
              <w:rPr>
                <w:rFonts w:ascii="Times New Roman" w:cs="Times New Roman" w:eastAsia="Times New Roman" w:hAnsi="Times New Roman"/>
                <w:sz w:val="15"/>
                <w:szCs w:val="15"/>
                <w:b w:val="1"/>
                <w:bCs w:val="1"/>
                <w:color w:val="auto"/>
              </w:rPr>
              <w:t>As of September 30, 2026</w:t>
            </w:r>
          </w:p>
        </w:tc>
        <w:tc>
          <w:tcPr>
            <w:tcW w:w="200" w:type="dxa"/>
            <w:vAlign w:val="bottom"/>
          </w:tcPr>
          <w:p>
            <w:pPr>
              <w:spacing w:after="0"/>
              <w:rPr>
                <w:sz w:val="17"/>
                <w:szCs w:val="17"/>
                <w:color w:val="auto"/>
              </w:rPr>
            </w:pPr>
          </w:p>
        </w:tc>
        <w:tc>
          <w:tcPr>
            <w:tcW w:w="2180" w:type="dxa"/>
            <w:vAlign w:val="bottom"/>
            <w:gridSpan w:val="3"/>
          </w:tcPr>
          <w:p>
            <w:pPr>
              <w:jc w:val="right"/>
              <w:ind w:right="295"/>
              <w:spacing w:after="0"/>
              <w:rPr>
                <w:sz w:val="20"/>
                <w:szCs w:val="20"/>
                <w:color w:val="auto"/>
              </w:rPr>
            </w:pPr>
            <w:r>
              <w:rPr>
                <w:rFonts w:ascii="Times New Roman" w:cs="Times New Roman" w:eastAsia="Times New Roman" w:hAnsi="Times New Roman"/>
                <w:sz w:val="15"/>
                <w:szCs w:val="15"/>
                <w:b w:val="1"/>
                <w:bCs w:val="1"/>
                <w:color w:val="auto"/>
              </w:rPr>
              <w:t>As of December 31, 2025</w:t>
            </w:r>
          </w:p>
        </w:tc>
      </w:tr>
      <w:tr>
        <w:trPr>
          <w:trHeight w:val="135"/>
        </w:trPr>
        <w:tc>
          <w:tcPr>
            <w:tcW w:w="37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5"/>
                <w:szCs w:val="15"/>
                <w:b w:val="1"/>
                <w:bCs w:val="1"/>
                <w:color w:val="auto"/>
              </w:rPr>
              <w:t>Borrowing</w:t>
            </w: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r>
      <w:tr>
        <w:trPr>
          <w:trHeight w:val="212"/>
        </w:trPr>
        <w:tc>
          <w:tcPr>
            <w:tcW w:w="3740" w:type="dxa"/>
            <w:vAlign w:val="bottom"/>
          </w:tcPr>
          <w:p>
            <w:pPr>
              <w:spacing w:after="0"/>
              <w:rPr>
                <w:sz w:val="18"/>
                <w:szCs w:val="18"/>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Maturity Date</w:t>
            </w:r>
          </w:p>
        </w:tc>
        <w:tc>
          <w:tcPr>
            <w:tcW w:w="16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Carrying Value</w:t>
            </w:r>
          </w:p>
        </w:tc>
        <w:tc>
          <w:tcPr>
            <w:tcW w:w="10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Interest Rate</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Carrying Value</w:t>
            </w:r>
          </w:p>
        </w:tc>
        <w:tc>
          <w:tcPr>
            <w:tcW w:w="100" w:type="dxa"/>
            <w:vAlign w:val="bottom"/>
          </w:tcPr>
          <w:p>
            <w:pPr>
              <w:spacing w:after="0"/>
              <w:rPr>
                <w:sz w:val="18"/>
                <w:szCs w:val="18"/>
                <w:color w:val="auto"/>
              </w:rPr>
            </w:pPr>
          </w:p>
        </w:tc>
        <w:tc>
          <w:tcPr>
            <w:tcW w:w="1200" w:type="dxa"/>
            <w:vAlign w:val="bottom"/>
          </w:tcPr>
          <w:p>
            <w:pPr>
              <w:jc w:val="right"/>
              <w:ind w:right="95"/>
              <w:spacing w:after="0"/>
              <w:rPr>
                <w:sz w:val="20"/>
                <w:szCs w:val="20"/>
                <w:color w:val="auto"/>
              </w:rPr>
            </w:pPr>
            <w:r>
              <w:rPr>
                <w:rFonts w:ascii="Times New Roman" w:cs="Times New Roman" w:eastAsia="Times New Roman" w:hAnsi="Times New Roman"/>
                <w:sz w:val="15"/>
                <w:szCs w:val="15"/>
                <w:b w:val="1"/>
                <w:bCs w:val="1"/>
                <w:color w:val="auto"/>
              </w:rPr>
              <w:t>Interest Rate</w:t>
            </w:r>
          </w:p>
        </w:tc>
      </w:tr>
      <w:tr>
        <w:trPr>
          <w:trHeight w:val="227"/>
        </w:trPr>
        <w:tc>
          <w:tcPr>
            <w:tcW w:w="3740" w:type="dxa"/>
            <w:vAlign w:val="bottom"/>
            <w:tcBorders>
              <w:top w:val="single" w:sz="8" w:color="CCEEFF"/>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Senior Unsecured Revolving Credit Facility</w:t>
            </w:r>
            <w:r>
              <w:rPr>
                <w:rFonts w:ascii="Times New Roman" w:cs="Times New Roman" w:eastAsia="Times New Roman" w:hAnsi="Times New Roman"/>
                <w:sz w:val="23"/>
                <w:szCs w:val="23"/>
                <w:color w:val="auto"/>
                <w:vertAlign w:val="superscript"/>
              </w:rPr>
              <w:t>(a)</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May 2030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4.74 %</w:t>
            </w:r>
          </w:p>
        </w:tc>
      </w:tr>
      <w:tr>
        <w:trPr>
          <w:trHeight w:val="229"/>
        </w:trPr>
        <w:tc>
          <w:tcPr>
            <w:tcW w:w="3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2031 Senior Notes</w:t>
            </w:r>
            <w:r>
              <w:rPr>
                <w:rFonts w:ascii="Times New Roman" w:cs="Times New Roman" w:eastAsia="Times New Roman" w:hAnsi="Times New Roman"/>
                <w:sz w:val="23"/>
                <w:szCs w:val="23"/>
                <w:color w:val="auto"/>
                <w:vertAlign w:val="superscript"/>
              </w:rPr>
              <w:t>(b)</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May 2031</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495,369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2034 Senior Notes</w:t>
            </w:r>
            <w:r>
              <w:rPr>
                <w:rFonts w:ascii="Times New Roman" w:cs="Times New Roman" w:eastAsia="Times New Roman" w:hAnsi="Times New Roman"/>
                <w:sz w:val="23"/>
                <w:szCs w:val="23"/>
                <w:color w:val="auto"/>
                <w:vertAlign w:val="superscript"/>
              </w:rPr>
              <w:t>(c)</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March 2034</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595,183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594,700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5.88 %</w:t>
            </w:r>
          </w:p>
        </w:tc>
      </w:tr>
      <w:tr>
        <w:trPr>
          <w:trHeight w:val="229"/>
        </w:trPr>
        <w:tc>
          <w:tcPr>
            <w:tcW w:w="3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2036 Senior Notes</w:t>
            </w:r>
            <w:r>
              <w:rPr>
                <w:rFonts w:ascii="Times New Roman" w:cs="Times New Roman" w:eastAsia="Times New Roman" w:hAnsi="Times New Roman"/>
                <w:sz w:val="23"/>
                <w:szCs w:val="23"/>
                <w:color w:val="auto"/>
                <w:vertAlign w:val="superscript"/>
              </w:rPr>
              <w:t>(d)</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January 2036</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492,024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491,353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5.38 %</w:t>
            </w:r>
          </w:p>
        </w:tc>
      </w:tr>
      <w:tr>
        <w:trPr>
          <w:trHeight w:val="229"/>
        </w:trPr>
        <w:tc>
          <w:tcPr>
            <w:tcW w:w="3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Subordinated Notes</w:t>
            </w:r>
            <w:r>
              <w:rPr>
                <w:rFonts w:ascii="Times New Roman" w:cs="Times New Roman" w:eastAsia="Times New Roman" w:hAnsi="Times New Roman"/>
                <w:sz w:val="23"/>
                <w:szCs w:val="23"/>
                <w:color w:val="auto"/>
                <w:vertAlign w:val="superscript"/>
              </w:rPr>
              <w:t>(e)</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March 2064</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390,502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390,311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6.95 %</w:t>
            </w:r>
          </w:p>
        </w:tc>
      </w:tr>
      <w:tr>
        <w:trPr>
          <w:trHeight w:val="230"/>
        </w:trPr>
        <w:tc>
          <w:tcPr>
            <w:tcW w:w="3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Secured Notes - Tranche A</w:t>
            </w:r>
            <w:r>
              <w:rPr>
                <w:rFonts w:ascii="Times New Roman" w:cs="Times New Roman" w:eastAsia="Times New Roman" w:hAnsi="Times New Roman"/>
                <w:sz w:val="23"/>
                <w:szCs w:val="23"/>
                <w:color w:val="auto"/>
                <w:vertAlign w:val="superscript"/>
              </w:rPr>
              <w:t>(f)</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June 2038</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197,117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196,931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5.33 %</w:t>
            </w:r>
          </w:p>
        </w:tc>
      </w:tr>
      <w:tr>
        <w:trPr>
          <w:trHeight w:val="229"/>
        </w:trPr>
        <w:tc>
          <w:tcPr>
            <w:tcW w:w="3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Secured Notes - Tranche B</w:t>
            </w:r>
            <w:r>
              <w:rPr>
                <w:rFonts w:ascii="Times New Roman" w:cs="Times New Roman" w:eastAsia="Times New Roman" w:hAnsi="Times New Roman"/>
                <w:sz w:val="23"/>
                <w:szCs w:val="23"/>
                <w:color w:val="auto"/>
                <w:vertAlign w:val="superscript"/>
              </w:rPr>
              <w:t>(f)</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June 2038</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w:t>
            </w:r>
          </w:p>
        </w:tc>
      </w:tr>
      <w:tr>
        <w:trPr>
          <w:trHeight w:val="230"/>
        </w:trPr>
        <w:tc>
          <w:tcPr>
            <w:tcW w:w="3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364-Day Revolving Credit Facility</w:t>
            </w:r>
            <w:r>
              <w:rPr>
                <w:rFonts w:ascii="Times New Roman" w:cs="Times New Roman" w:eastAsia="Times New Roman" w:hAnsi="Times New Roman"/>
                <w:sz w:val="23"/>
                <w:szCs w:val="23"/>
                <w:color w:val="auto"/>
                <w:vertAlign w:val="superscript"/>
              </w:rPr>
              <w:t>(g)</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April 2027</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5.69 %</w:t>
            </w:r>
          </w:p>
        </w:tc>
      </w:tr>
      <w:tr>
        <w:trPr>
          <w:trHeight w:val="230"/>
        </w:trPr>
        <w:tc>
          <w:tcPr>
            <w:tcW w:w="3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Subordinated Credit Facility</w:t>
            </w:r>
            <w:r>
              <w:rPr>
                <w:rFonts w:ascii="Times New Roman" w:cs="Times New Roman" w:eastAsia="Times New Roman" w:hAnsi="Times New Roman"/>
                <w:sz w:val="23"/>
                <w:szCs w:val="23"/>
                <w:color w:val="auto"/>
                <w:vertAlign w:val="superscript"/>
              </w:rPr>
              <w:t>(h)</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August 2028</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6.04 %</w:t>
            </w:r>
          </w:p>
        </w:tc>
      </w:tr>
      <w:tr>
        <w:trPr>
          <w:trHeight w:val="223"/>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debt obligations</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4,330,000</w:t>
            </w:r>
          </w:p>
        </w:tc>
        <w:tc>
          <w:tcPr>
            <w:tcW w:w="8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2,279,492</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1,722,547</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
        </w:trPr>
        <w:tc>
          <w:tcPr>
            <w:tcW w:w="3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9" w:lineRule="exact"/>
        <w:rPr>
          <w:sz w:val="20"/>
          <w:szCs w:val="20"/>
          <w:color w:val="auto"/>
        </w:rPr>
      </w:pPr>
    </w:p>
    <w:p>
      <w:pPr>
        <w:jc w:val="both"/>
        <w:ind w:left="500" w:hanging="492"/>
        <w:spacing w:after="0" w:line="271" w:lineRule="auto"/>
        <w:tabs>
          <w:tab w:leader="none" w:pos="49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2026, the senior unsecured revolving credit facility, as amended (the “Senior Unsecured Revolving Credit Facility”) has aggregate revolving commitments of $1.75 billion. Dollar-denominated principal amounts outstanding under the Senior Unsecured Revolving Credit Facility accrue interest, at the option of the applicable borrower, either (i) at a base rate plus applicable margin not to exceed 0.20% per annum or (ii) at a term SOFR rate plus a 0.10% per annum adjustment and an applicable margin not to exceed 1.20%.</w:t>
      </w:r>
    </w:p>
    <w:p>
      <w:pPr>
        <w:spacing w:after="0" w:line="21" w:lineRule="exact"/>
        <w:rPr>
          <w:rFonts w:ascii="Times New Roman" w:cs="Times New Roman" w:eastAsia="Times New Roman" w:hAnsi="Times New Roman"/>
          <w:sz w:val="14"/>
          <w:szCs w:val="14"/>
          <w:color w:val="auto"/>
        </w:rPr>
      </w:pPr>
    </w:p>
    <w:p>
      <w:pPr>
        <w:ind w:left="500" w:hanging="492"/>
        <w:spacing w:after="0" w:line="301" w:lineRule="auto"/>
        <w:tabs>
          <w:tab w:leader="none" w:pos="49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26, 2026, the Notes Issuer issued $500.0 million aggregate principal amount of 2031 Senior Notes with interest payable semi-annually in arrears on May 15 and November 15 of each year, beginning on November 15, 2026.</w:t>
      </w:r>
    </w:p>
    <w:p>
      <w:pPr>
        <w:spacing w:after="0" w:line="1" w:lineRule="exact"/>
        <w:rPr>
          <w:rFonts w:ascii="Times New Roman" w:cs="Times New Roman" w:eastAsia="Times New Roman" w:hAnsi="Times New Roman"/>
          <w:sz w:val="14"/>
          <w:szCs w:val="14"/>
          <w:color w:val="auto"/>
        </w:rPr>
      </w:pPr>
    </w:p>
    <w:p>
      <w:pPr>
        <w:ind w:left="500" w:hanging="492"/>
        <w:spacing w:after="0" w:line="282" w:lineRule="auto"/>
        <w:tabs>
          <w:tab w:leader="none" w:pos="49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5, 2024, the Notes Issuer issued $600.0 million aggregate principal amount of Senior Notes due 2034 (the “2034 Senior Notes”) with interest payable semi-annually in arrears on March 5 and September 5 of each year, beginning on September 5, 2024.</w:t>
      </w:r>
    </w:p>
    <w:p>
      <w:pPr>
        <w:spacing w:after="0" w:line="13" w:lineRule="exact"/>
        <w:rPr>
          <w:rFonts w:ascii="Times New Roman" w:cs="Times New Roman" w:eastAsia="Times New Roman" w:hAnsi="Times New Roman"/>
          <w:sz w:val="14"/>
          <w:szCs w:val="14"/>
          <w:color w:val="auto"/>
        </w:rPr>
      </w:pPr>
    </w:p>
    <w:p>
      <w:pPr>
        <w:ind w:left="500" w:hanging="492"/>
        <w:spacing w:after="0" w:line="301" w:lineRule="auto"/>
        <w:tabs>
          <w:tab w:leader="none" w:pos="49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14, 2025, the Notes Issuer issued $500.0 million aggregate principal amount of Senior Notes due 2036 (the “2036 Senior Notes” and, collectively with the 2031 Senior Notes and the 2034 Senior Notes, the “Senior Notes”) with interest payable semi-annually in arrears on January 15 and July 15 of each year, beginning on January 15, 2026.</w:t>
      </w:r>
    </w:p>
    <w:p>
      <w:pPr>
        <w:spacing w:after="0" w:line="1" w:lineRule="exact"/>
        <w:rPr>
          <w:rFonts w:ascii="Times New Roman" w:cs="Times New Roman" w:eastAsia="Times New Roman" w:hAnsi="Times New Roman"/>
          <w:sz w:val="14"/>
          <w:szCs w:val="14"/>
          <w:color w:val="auto"/>
        </w:rPr>
      </w:pPr>
    </w:p>
    <w:p>
      <w:pPr>
        <w:jc w:val="both"/>
        <w:ind w:left="500" w:right="20" w:hanging="492"/>
        <w:spacing w:after="0" w:line="271" w:lineRule="auto"/>
        <w:tabs>
          <w:tab w:leader="none" w:pos="49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4, 2024, the Notes Issuer issued $400.0 million aggregate principal amount of Fixed-Rate Junior Subordinated notes due 2064 (the “Subordinated Notes”) with interest payable quarterly in arrears on March 15, June 15, September 15 and December 15 of each year, beginning on June 15, 2024, subject to the Notes Issuer’s right, on one or more occasions, to defer the payment of interest on the notes for up to five consecutive years.</w:t>
      </w:r>
    </w:p>
    <w:p>
      <w:pPr>
        <w:spacing w:after="0" w:line="2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Secured Notes are issued using on-balance sheet securitization vehicles, as further discussed in Note 7 to the Condensed Consolidated Financial Statements.</w:t>
      </w:r>
    </w:p>
    <w:p>
      <w:pPr>
        <w:spacing w:after="0" w:line="68" w:lineRule="exact"/>
        <w:rPr>
          <w:rFonts w:ascii="Times New Roman" w:cs="Times New Roman" w:eastAsia="Times New Roman" w:hAnsi="Times New Roman"/>
          <w:sz w:val="14"/>
          <w:szCs w:val="14"/>
          <w:color w:val="auto"/>
        </w:rPr>
      </w:pPr>
    </w:p>
    <w:p>
      <w:pPr>
        <w:jc w:val="both"/>
        <w:ind w:left="500" w:hanging="492"/>
        <w:spacing w:after="0" w:line="281" w:lineRule="auto"/>
        <w:tabs>
          <w:tab w:leader="none" w:pos="49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14, 2023, a consolidated subsidiary of the Company entered into a 364-day revolving credit facility (the “364-Day Credit Facility”) with Mizuho Bank, Ltd., acting as administrative agent, to provide the subsidiary with revolving borrowings of up to $150.0 million. This facility was increased to $300.0 million in April 2025 and subsequently extended in April 2026 to a new termination date of April 7, 2027.</w:t>
      </w:r>
    </w:p>
    <w:p>
      <w:pPr>
        <w:spacing w:after="0" w:line="1" w:lineRule="exact"/>
        <w:rPr>
          <w:rFonts w:ascii="Times New Roman" w:cs="Times New Roman" w:eastAsia="Times New Roman" w:hAnsi="Times New Roman"/>
          <w:sz w:val="14"/>
          <w:szCs w:val="14"/>
          <w:color w:val="auto"/>
        </w:rPr>
      </w:pPr>
    </w:p>
    <w:p>
      <w:pPr>
        <w:jc w:val="both"/>
        <w:ind w:left="500" w:hanging="492"/>
        <w:spacing w:after="0" w:line="281" w:lineRule="auto"/>
        <w:tabs>
          <w:tab w:leader="none" w:pos="49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August 2014, a consolidated subsidiary of the Company entered into two $15.0 million subordinated revolving credit facilities (collectively, the “Subordinated Credit Facility”), for a total commitment of $30.0 million. The Subordinated Credit Facility is available for direct borrowings and is guaranteed by certain members of the TPG Operating Group. In July 2026, the subsidiary extended the maturity date of the Subordinated Credit Facility from August 2027 to August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 September 30, 2026, the Company was in compliance with all covenants under the debt obligations.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fair values of the Company’s debt which are carried at amortized cost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60" w:type="dxa"/>
            <w:vAlign w:val="bottom"/>
          </w:tcPr>
          <w:p>
            <w:pPr>
              <w:spacing w:after="0"/>
              <w:rPr>
                <w:sz w:val="18"/>
                <w:szCs w:val="18"/>
                <w:color w:val="auto"/>
              </w:rPr>
            </w:pPr>
          </w:p>
        </w:tc>
        <w:tc>
          <w:tcPr>
            <w:tcW w:w="190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6820" w:type="dxa"/>
            <w:vAlign w:val="bottom"/>
            <w:tcBorders>
              <w:top w:val="single" w:sz="8" w:color="CCEEFF"/>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2034 Senior Notes</w:t>
            </w:r>
            <w:r>
              <w:rPr>
                <w:rFonts w:ascii="Times New Roman" w:cs="Times New Roman" w:eastAsia="Times New Roman" w:hAnsi="Times New Roman"/>
                <w:sz w:val="23"/>
                <w:szCs w:val="23"/>
                <w:color w:val="auto"/>
                <w:vertAlign w:val="superscript"/>
              </w:rPr>
              <w:t>(a)</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579,984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627,402</w:t>
            </w:r>
          </w:p>
        </w:tc>
      </w:tr>
      <w:tr>
        <w:trPr>
          <w:trHeight w:val="230"/>
        </w:trPr>
        <w:tc>
          <w:tcPr>
            <w:tcW w:w="6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2036 Senior Notes</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499,380</w:t>
            </w:r>
          </w:p>
        </w:tc>
      </w:tr>
      <w:tr>
        <w:trPr>
          <w:trHeight w:val="229"/>
        </w:trPr>
        <w:tc>
          <w:tcPr>
            <w:tcW w:w="6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2031 Senior Notes</w:t>
            </w:r>
            <w:r>
              <w:rPr>
                <w:rFonts w:ascii="Times New Roman" w:cs="Times New Roman" w:eastAsia="Times New Roman" w:hAnsi="Times New Roman"/>
                <w:sz w:val="23"/>
                <w:szCs w:val="23"/>
                <w:color w:val="auto"/>
                <w:vertAlign w:val="superscript"/>
              </w:rPr>
              <w:t>(a)</w:t>
            </w: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Subordinated Notes</w:t>
            </w:r>
            <w:r>
              <w:rPr>
                <w:rFonts w:ascii="Times New Roman" w:cs="Times New Roman" w:eastAsia="Times New Roman" w:hAnsi="Times New Roman"/>
                <w:sz w:val="23"/>
                <w:szCs w:val="23"/>
                <w:color w:val="auto"/>
                <w:vertAlign w:val="superscript"/>
              </w:rPr>
              <w:t>(b)</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397,600</w:t>
            </w:r>
          </w:p>
        </w:tc>
      </w:tr>
      <w:tr>
        <w:trPr>
          <w:trHeight w:val="230"/>
        </w:trPr>
        <w:tc>
          <w:tcPr>
            <w:tcW w:w="68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Secured Notes - Tranche A</w:t>
            </w:r>
            <w:r>
              <w:rPr>
                <w:rFonts w:ascii="Times New Roman" w:cs="Times New Roman" w:eastAsia="Times New Roman" w:hAnsi="Times New Roman"/>
                <w:sz w:val="23"/>
                <w:szCs w:val="23"/>
                <w:color w:val="auto"/>
                <w:vertAlign w:val="superscript"/>
              </w:rPr>
              <w:t>(c)</w:t>
            </w: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198,960</w:t>
            </w:r>
          </w:p>
        </w:tc>
      </w:tr>
      <w:tr>
        <w:trPr>
          <w:trHeight w:val="30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Secured Notes - Tranche B</w:t>
            </w:r>
            <w:r>
              <w:rPr>
                <w:rFonts w:ascii="Times New Roman" w:cs="Times New Roman" w:eastAsia="Times New Roman" w:hAnsi="Times New Roman"/>
                <w:sz w:val="23"/>
                <w:szCs w:val="23"/>
                <w:color w:val="auto"/>
                <w:vertAlign w:val="superscript"/>
              </w:rPr>
              <w:t>(c)</w:t>
            </w:r>
          </w:p>
        </w:tc>
        <w:tc>
          <w:tcPr>
            <w:tcW w:w="2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49,070</w:t>
            </w:r>
          </w:p>
        </w:tc>
      </w:tr>
    </w:tbl>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8"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is based on indicative quotes and the notes are classified as Level II within the fair value hierarchy.</w:t>
      </w:r>
    </w:p>
    <w:p>
      <w:pPr>
        <w:spacing w:after="0" w:line="55"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is based on quoted prices in active markets since the debt is publicly listed and the notes are classified as Level I within the fair value hierarchy.</w:t>
      </w:r>
    </w:p>
    <w:p>
      <w:pPr>
        <w:spacing w:after="0" w:line="68" w:lineRule="exact"/>
        <w:rPr>
          <w:rFonts w:ascii="Times New Roman" w:cs="Times New Roman" w:eastAsia="Times New Roman" w:hAnsi="Times New Roman"/>
          <w:sz w:val="14"/>
          <w:szCs w:val="14"/>
          <w:color w:val="auto"/>
        </w:rPr>
      </w:pPr>
    </w:p>
    <w:p>
      <w:pPr>
        <w:ind w:left="500" w:hanging="492"/>
        <w:spacing w:after="0" w:line="302" w:lineRule="auto"/>
        <w:tabs>
          <w:tab w:leader="none" w:pos="49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is based on current market rates and credit spreads of the Company’s Senior Notes and debt with similar maturities. The notes are classified as Level II within the fair value hierarchy.</w:t>
      </w:r>
    </w:p>
    <w:p>
      <w:pPr>
        <w:spacing w:after="0" w:line="16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 the case of the Company’s Senior Unsecured Revolving Credit Facility, Subordinated Credit Facility and 364-Day Credit Facility, the fair values approximate the carrying amounts represented in the Condensed Consolidated Financial Statements due to their variable rate nature.</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Company incurred interest expense of $34.3 million and $101.5 million, respectively, on its debt obligations. During the three and nine months ended September 30, 2025, the Company incurred interest expense of $28.2 million and $74.7 million respectively, on its debt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a result of the Reorganization, the Company is treated as a corporation for U.S. federal and state income tax purposes. The Company is subject to U.S. federal and state income taxes, in addition to local and foreign income taxes, with respect to its allocable share of taxable income generated by the TPG Operating Group. Prior to the Reorganization, the Company was treated as a partnership for U.S. federal income tax purposes and therefore was not subject to U.S. federal and state income taxes except for certain consolidated subsidiaries that were subject to taxation in the United States (federal, state and local) and in foreign jurisdictions.</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has recognized net deferred tax assets before the considerations of valuation allowances in the amount of $1.2 billion and $993.9 million, respectively, which primarily relates to excess income tax basis versus book basis differences in connection with the Company’s investment in the TPG Operating Group. The excess of income tax basis in the TPG Operating Group is primarily due to the Reorganization and subsequent exchanges of Common Units for Class A common stock. As a result of the Reorganization and subsequent exchanges, the Company recorded deferred tax assets generated by the step-up in the tax basis of assets, that will be recovered as those underlying assets are sold or the tax basis is amortized.</w:t>
      </w:r>
    </w:p>
    <w:p>
      <w:pPr>
        <w:spacing w:after="0" w:line="18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evaluates the realizability of its deferred tax asset on a quarterly basis and adjusts the valuation allowance when it is more likely than not that all or a portion of the deferred tax asset may not be realized. Management considers the scheduled reversal of deferred tax liabilities, projected future taxable income, and tax planning strategies in making this assessment. In projecting its taxable income, the Company begins with historic results and incorporates assumptions of the amount of future pre-tax operating income. The assumptions about future taxable income require significant judgment and are consistent with the plans and estimates that the Company uses to manage its business. The Company’s projections of future taxable income that include the effects of originating and reversing temporary differences, including those for the tax basis intangibles, indicate that it is more likely than not that the benefits from our deferred tax assets will be realized.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has recognized a valuation allowance of $195.2 million and $141.3 million, respectively, which primarily relates to the Company’s investment in the TPG Operating Group. In evaluating the realizability of the deferred tax asset related to the Company’s investment in the TPG Operating Group, the Company determined that a portion of excess income tax basis in the TPG Operating Group will only reverse upon a sale of the Company’s interest in the TPG Operating Group which is not expected to occur in the foreseeable future. The Company has recognized valuation allowances against certain foreign tax credits available for use in the United States in the amount of $0.5 million, which are expected to expire unutilized. The Company also recognized a valuation allowance of $0.2 million primarily related to foreign net operating loss carryforwards, as it is more likely than not that this portion of our foreign deferred tax assets is not realizable.</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the Company’s liability pursuant to the Tax Receivable Agreement related to the Reorganization and subsequent exchanges of TPG Operating Group partnership units for common stock was $938.0 million and $811.6 million, respectively. As of September 30, 2026 approximately $583.3 million of the Tax Receivable Agreement liability is attributable to Related Parties further described in Note 10</w:t>
      </w:r>
    </w:p>
    <w:p>
      <w:pPr>
        <w:spacing w:after="0"/>
        <w:rPr>
          <w:sz w:val="20"/>
          <w:szCs w:val="20"/>
          <w:color w:val="auto"/>
        </w:rPr>
      </w:pPr>
      <w:r>
        <w:rPr>
          <w:rFonts w:ascii="Times New Roman" w:cs="Times New Roman" w:eastAsia="Times New Roman" w:hAnsi="Times New Roman"/>
          <w:sz w:val="18"/>
          <w:szCs w:val="18"/>
          <w:color w:val="auto"/>
        </w:rPr>
        <w:t>and $354.7 million is attributable to non-affiliates recorded in other liabilities. As of December 31, 2025, approximately $495.1 million of the Tax</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Receivable Agreement liability is attributable to Related Parties further described in Note 10 and $316.6 million is attributable to non-affiliates recorded in other liabilities. During the nine months ended September 30, 2026, certain holders of Common Units exchanged 13,003,417 Common Units for an equal number of shares of Class A Common Stock as described in Note 15 to the Consolidated Financial Statements. During the nine months ended September 30, 2026, the Company made payments of $29.9 million in connection with the Tax Receivable Agreement.</w:t>
      </w:r>
    </w:p>
    <w:p>
      <w:pPr>
        <w:spacing w:after="0" w:line="180" w:lineRule="exact"/>
        <w:rPr>
          <w:sz w:val="20"/>
          <w:szCs w:val="20"/>
          <w:color w:val="auto"/>
        </w:rPr>
      </w:pPr>
    </w:p>
    <w:p>
      <w:pPr>
        <w:jc w:val="both"/>
        <w:ind w:firstLine="486"/>
        <w:spacing w:after="0" w:line="269" w:lineRule="auto"/>
        <w:rPr>
          <w:sz w:val="20"/>
          <w:szCs w:val="20"/>
          <w:color w:val="auto"/>
        </w:rPr>
      </w:pPr>
      <w:r>
        <w:rPr>
          <w:rFonts w:ascii="Times New Roman" w:cs="Times New Roman" w:eastAsia="Times New Roman" w:hAnsi="Times New Roman"/>
          <w:sz w:val="18"/>
          <w:szCs w:val="18"/>
          <w:color w:val="auto"/>
        </w:rPr>
        <w:t>The Company’s effective tax rate was 18.0% and 14.3% for the three and nine months ended September 30, 2026, respectively, and 12.7% and 12.3% for the three and nine months ended September 30, 2025, respectively. The Company’s effective tax rate is dependent on many factors, including the estimated amount of income subject to tax. Consequently, the effective tax rate can vary from period to period. The Company’s overall effective tax rate in each of the periods described above deviates from the statutory rate primarily because (i) a portion of income and losses are allocated to non-controlling interests, and the tax liability on such income or loss is borne by the holders of such non-controlling interests, (ii) certain compensation expense that is not tax deductible and (iii) tax benefits related to equity-based compensation windfalls.</w:t>
      </w:r>
    </w:p>
    <w:p>
      <w:pPr>
        <w:spacing w:after="0" w:line="17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Applicable accounting standards provide that the Company may estimate an annual effective tax rate and apply that rate to year-to-date income for each interim period. However, because the Company’s forecast of income before taxes is highly variable due to changes in market conditions, the actual effective income tax rate for the year-to-date period represents a better estimate of the consolidated annual effective income tax rate. Accordingly, for the three and nine months ended September 30, 2026, the actual consolidated effective income tax rate was used to determine the Company’s income tax provision.</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there were no material changes to uncertain tax positions. The Company files its tax returns as prescribed by the tax laws of the jurisdictions in which it operates. In the normal course of business, the Company is subject to examination by U.S. federal, state, local and foreign tax authorities. Although the outcome of tax audits is always uncertain, the Company does not believe the outcome of any future audit will have a material adverse effect on the Company’s Condensed Consolidated Financial Statements.</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December 2021, the Organization for Economic Cooperation and Development (“OECD”) released the Pillar Two Model rules (also referred to as the global minimum tax or Global Anti-Base Erosion “GloBE” rules), which were designed to ensure multinational enterprises pay a certain level of tax within every jurisdiction in which they operate. Several jurisdictions in which the Company operates have enacted these rules. In January 2026, the OECD released Administrative Guidance that introduced new Safe Harbors including one that exempts U.S.-parented multinational groups from various aspects of the GloBE rules. The Company will continue to monitor for legislative changes related to this guidance. As of September 30, 2026, the Company has analyzed enacted legislation and determined that the effects of Pillar Two are not material to the Company’s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Party Transactions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Due From and Due To Affiliates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Due from affiliates and due to affiliates consist of the following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40" w:type="dxa"/>
            <w:vAlign w:val="bottom"/>
          </w:tcPr>
          <w:p>
            <w:pPr>
              <w:spacing w:after="0"/>
              <w:rPr>
                <w:sz w:val="18"/>
                <w:szCs w:val="18"/>
                <w:color w:val="auto"/>
              </w:rPr>
            </w:pPr>
          </w:p>
        </w:tc>
        <w:tc>
          <w:tcPr>
            <w:tcW w:w="182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Portfolio companies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105,879</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68,787</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 and employees</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related entities</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140,746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93,239</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Unconsolidated VIEs</w:t>
            </w: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269,779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408,022</w:t>
            </w:r>
          </w:p>
        </w:tc>
      </w:tr>
      <w:tr>
        <w:trPr>
          <w:trHeight w:val="248"/>
        </w:trPr>
        <w:tc>
          <w:tcPr>
            <w:tcW w:w="7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Due from affiliates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519,536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573,590</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Portfolio companies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18,788</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Partners and employees</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657,731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579,039</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related entities</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24,539</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Unconsolidated VIEs</w:t>
            </w: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68,674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72,266</w:t>
            </w:r>
          </w:p>
        </w:tc>
      </w:tr>
      <w:tr>
        <w:trPr>
          <w:trHeight w:val="248"/>
        </w:trPr>
        <w:tc>
          <w:tcPr>
            <w:tcW w:w="7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Due to affiliates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766,275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694,632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Affiliate receivables and payables historically have been settled in the normal course of business without formal payment terms, generally do not require any form of collateral and do not bear interest.</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Pursuant to the Exchange Agreement, certain current and former employees and partners of TPG Partner Holdings are authorized to exchange Common Units for an equal number of shares of Class A Common Stock. During the nine months ended September 30, 2026, these current and former partners and employees exchanged 13,003,417 Common Units, as described in Note 15 to the Condensed Consolidated Financial Statements, of which 9,180,234 units were from related parties. These exchanges resulted in an increase in the Company’s tax basis of its investment in the TPG Operating Group and is subject to the Tax Receivable Agreement. As of September 30, 2026 and December 31, 2025, the Company has recorded a Tax Receivable Agreement liability of $583.3 million and $495.1 million, respectively, in connection with certain current and former employees and partners of TPG Partner Holdings, which is included in the partners and employees balance in due to affiliates in the Condensed Consolidated Statements of Financial Condition. During the nine months ended September 30, 2026, the Company made payments of $29.9 million in connection with the Tax Receivable Agreement, of which $19.9 million was paid to related parties.</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Fund Investments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of the Company’s investment professionals and other individuals have made investments of their own capital in the TPG funds. These investments are generally not subject to management fees or performance allocations at the discretion of the general partner. Investments made by these individuals during the nine months ended September 30, 2026 and 2025 totaled $180.7 million and $155.5 million, respectively.</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Fee Income from Affiliates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Substantially all revenues are generated from TPG funds, limited partners of TPG funds, or portfolio companies. The Company disclosed revenues in Note 2 to the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Loans to Affiliates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enter into transactions in which it arranges short-term funding for affiliates, such as portfolio companies, as part of the Company’s capital markets activities. Under this arrangement, the Company may draw all or substantially all of its availability for borrowings under the 364-Day Credit Facility. Borrowings made under this facility are generally short-term fundings that are intended to be syndicated to third parties.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Line of Credit Arrangement</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August 26, 2025, TPG Operating Group II, L.P. entered into an unsecured, uncommitted line of credit (the “Line of Credit”) with an affiliate of TPG Private Equity Opportunities (“T-POP”) to provide for up to a maximum aggregate principal amount of $250.0 million. No amount was outstanding on the Line of Credit as of September 30, 2026.</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RemainCo Administrative Services Agreement</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exchange for services provided by TPG Operating Group, RemainCo pays TPG Operating Group an annual administration fee in the amount of 1% per annum of the net asset value of RemainCo’s assets, with such amount payable quarterly in advance. The fees earned by the Company for the three and nine months ended September 30, 2026 were $3.1 million and $9.2 million, respectively, and recorded in fees and other in the Condensed Consolidated Statements of Operations. The fees earned by the Company for the three and nine months ended September 30, 2025 were $3.2 million and $9.6 million,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Operating Leases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summarize the Company’s lease cost, cash flows and other supplemental information related to its operating leases.</w:t>
      </w:r>
    </w:p>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3020" w:type="dxa"/>
            <w:vAlign w:val="bottom"/>
            <w:gridSpan w:val="4"/>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8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488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8"/>
                <w:szCs w:val="18"/>
                <w:b w:val="1"/>
                <w:bCs w:val="1"/>
                <w:color w:val="auto"/>
              </w:rPr>
              <w:t>Lease cost</w:t>
            </w:r>
            <w:r>
              <w:rPr>
                <w:rFonts w:ascii="Times New Roman" w:cs="Times New Roman" w:eastAsia="Times New Roman" w:hAnsi="Times New Roman"/>
                <w:sz w:val="23"/>
                <w:szCs w:val="23"/>
                <w:b w:val="1"/>
                <w:bCs w:val="1"/>
                <w:color w:val="auto"/>
                <w:vertAlign w:val="superscript"/>
              </w:rPr>
              <w:t>(a)</w:t>
            </w: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22,368</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76,626</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67,292</w:t>
            </w:r>
          </w:p>
        </w:tc>
      </w:tr>
      <w:tr>
        <w:trPr>
          <w:trHeight w:val="230"/>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lease costs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829</w:t>
            </w:r>
          </w:p>
        </w:tc>
      </w:tr>
      <w:tr>
        <w:trPr>
          <w:trHeight w:val="230"/>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Variable lease cost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9,934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8,550</w:t>
            </w:r>
          </w:p>
        </w:tc>
      </w:tr>
      <w:tr>
        <w:trPr>
          <w:trHeight w:val="229"/>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Sublease income</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(1,807)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(1,787)</w:t>
            </w:r>
          </w:p>
        </w:tc>
      </w:tr>
      <w:tr>
        <w:trPr>
          <w:trHeight w:val="223"/>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85,196</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74,884</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4"/>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5.60 %</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5.60 %</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9" w:lineRule="exact"/>
        <w:rPr>
          <w:sz w:val="20"/>
          <w:szCs w:val="20"/>
          <w:color w:val="auto"/>
        </w:rPr>
      </w:pPr>
    </w:p>
    <w:p>
      <w:pPr>
        <w:ind w:left="500" w:right="140" w:hanging="492"/>
        <w:spacing w:after="0" w:line="282" w:lineRule="auto"/>
        <w:tabs>
          <w:tab w:leader="none" w:pos="49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Office rent expense for the three and nine months ended September 30, 2026 was $25.9 million and $76.2 million, respectively. Office rent expense for the three and nine months ended September 30, 2025 was $22.0 million and $67.1 million, respectively.</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Condensed Consolidated Statements of Cash Flows information related to leases were as follows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4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760" w:type="dxa"/>
            <w:vAlign w:val="bottom"/>
            <w:tcBorders>
              <w:bottom w:val="single" w:sz="8" w:color="auto"/>
            </w:tcBorders>
          </w:tcPr>
          <w:p>
            <w:pPr>
              <w:spacing w:after="0"/>
              <w:rPr>
                <w:sz w:val="18"/>
                <w:szCs w:val="18"/>
                <w:color w:val="auto"/>
              </w:rPr>
            </w:pPr>
          </w:p>
        </w:tc>
      </w:tr>
      <w:tr>
        <w:trPr>
          <w:trHeight w:val="211"/>
        </w:trPr>
        <w:tc>
          <w:tcPr>
            <w:tcW w:w="55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8"/>
                <w:szCs w:val="18"/>
                <w:color w:val="auto"/>
              </w:rPr>
            </w:pPr>
          </w:p>
        </w:tc>
      </w:tr>
      <w:tr>
        <w:trPr>
          <w:trHeight w:val="252"/>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840" w:type="dxa"/>
            <w:vAlign w:val="bottom"/>
            <w:gridSpan w:val="2"/>
            <w:shd w:val="clear" w:color="auto" w:fill="CCEEFF"/>
          </w:tcPr>
          <w:p>
            <w:pPr>
              <w:jc w:val="right"/>
              <w:ind w:right="111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16,021</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42,241</w:t>
            </w: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5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75,108</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398,931</w:t>
            </w:r>
          </w:p>
        </w:tc>
      </w:tr>
      <w:tr>
        <w:trPr>
          <w:trHeight w:val="27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non-cash changes in right-of-use assets and operating lease liabilities</w:t>
            </w:r>
          </w:p>
        </w:tc>
        <w:tc>
          <w:tcPr>
            <w:tcW w:w="15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(28,189)</w:t>
            </w:r>
          </w:p>
        </w:tc>
        <w:tc>
          <w:tcPr>
            <w:tcW w:w="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904"/>
        </w:trPr>
        <w:tc>
          <w:tcPr>
            <w:tcW w:w="5500" w:type="dxa"/>
            <w:vAlign w:val="bottom"/>
          </w:tcPr>
          <w:p>
            <w:pPr>
              <w:spacing w:after="0"/>
              <w:rPr>
                <w:sz w:val="24"/>
                <w:szCs w:val="24"/>
                <w:color w:val="auto"/>
              </w:rPr>
            </w:pPr>
          </w:p>
        </w:tc>
        <w:tc>
          <w:tcPr>
            <w:tcW w:w="154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38</w:t>
            </w: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5"/>
        </w:trPr>
        <w:tc>
          <w:tcPr>
            <w:tcW w:w="55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the undiscounted cash flows on an annual basis for operating lease liabilities as of September 30, 2026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180" w:type="dxa"/>
            <w:vAlign w:val="bottom"/>
            <w:gridSpan w:val="2"/>
          </w:tcPr>
          <w:p>
            <w:pPr>
              <w:ind w:left="3680"/>
              <w:spacing w:after="0"/>
              <w:rPr>
                <w:sz w:val="20"/>
                <w:szCs w:val="20"/>
                <w:color w:val="auto"/>
              </w:rPr>
            </w:pPr>
            <w:r>
              <w:rPr>
                <w:rFonts w:ascii="Times New Roman" w:cs="Times New Roman" w:eastAsia="Times New Roman" w:hAnsi="Times New Roman"/>
                <w:sz w:val="18"/>
                <w:szCs w:val="18"/>
                <w:b w:val="1"/>
                <w:bCs w:val="1"/>
                <w:color w:val="auto"/>
              </w:rPr>
              <w:t>Year Due</w:t>
            </w:r>
          </w:p>
        </w:tc>
        <w:tc>
          <w:tcPr>
            <w:tcW w:w="500" w:type="dxa"/>
            <w:vAlign w:val="bottom"/>
          </w:tcPr>
          <w:p>
            <w:pPr>
              <w:spacing w:after="0"/>
              <w:rPr>
                <w:sz w:val="22"/>
                <w:szCs w:val="22"/>
                <w:color w:val="auto"/>
              </w:rPr>
            </w:pPr>
          </w:p>
        </w:tc>
        <w:tc>
          <w:tcPr>
            <w:tcW w:w="256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Lease Amount</w:t>
            </w:r>
            <w:r>
              <w:rPr>
                <w:rFonts w:ascii="Times New Roman" w:cs="Times New Roman" w:eastAsia="Times New Roman" w:hAnsi="Times New Roman"/>
                <w:sz w:val="23"/>
                <w:szCs w:val="23"/>
                <w:b w:val="1"/>
                <w:bCs w:val="1"/>
                <w:color w:val="auto"/>
                <w:vertAlign w:val="superscript"/>
              </w:rPr>
              <w:t>(a)</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82,995</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83,241</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80,886</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75,916</w:t>
            </w: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641,208</w:t>
            </w:r>
          </w:p>
        </w:tc>
      </w:tr>
      <w:tr>
        <w:trPr>
          <w:trHeight w:val="250"/>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future undiscounted operating lease payments</w:t>
            </w:r>
          </w:p>
        </w:tc>
        <w:tc>
          <w:tcPr>
            <w:tcW w:w="500" w:type="dxa"/>
            <w:vAlign w:val="bottom"/>
            <w:shd w:val="clear" w:color="auto" w:fill="CCEEFF"/>
          </w:tcPr>
          <w:p>
            <w:pPr>
              <w:spacing w:after="0"/>
              <w:rPr>
                <w:sz w:val="21"/>
                <w:szCs w:val="21"/>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963,570</w:t>
            </w: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(303,770)</w:t>
            </w:r>
          </w:p>
        </w:tc>
      </w:tr>
      <w:tr>
        <w:trPr>
          <w:trHeight w:val="248"/>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Present value of operating lease liabilities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659,800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9" w:lineRule="exact"/>
        <w:rPr>
          <w:sz w:val="20"/>
          <w:szCs w:val="20"/>
          <w:color w:val="auto"/>
        </w:rPr>
      </w:pPr>
    </w:p>
    <w:p>
      <w:pPr>
        <w:ind w:left="500" w:hanging="492"/>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tenant improvement allowances.</w:t>
      </w:r>
    </w:p>
    <w:p>
      <w:pPr>
        <w:spacing w:after="0" w:line="217" w:lineRule="exact"/>
        <w:rPr>
          <w:sz w:val="20"/>
          <w:szCs w:val="20"/>
          <w:color w:val="auto"/>
        </w:rPr>
      </w:pPr>
    </w:p>
    <w:p>
      <w:pPr>
        <w:ind w:left="500" w:right="8420" w:hanging="492"/>
        <w:spacing w:after="0" w:line="503" w:lineRule="auto"/>
        <w:tabs>
          <w:tab w:leader="none" w:pos="28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Guarantees</w:t>
      </w: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of the Company’s consolidated entities have provided guarantees for obligations related to third-party lending programs that enable certain of our eligible employees to obtain financing for capital contributions into TPG funds. At September 30, 2026, the amounts outstanding related to these guarantees were $172.4 million, and the maximum obligations guaranteed under these agreements are $378.2 million.</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At September 30, 2026, the TPG Operating Group had unfunded investment commitments of $655.4 million to the investment funds that the Company manages and other strategic investments.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Obligations (Clawback) With Affiliates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governing agreements of the TPG funds that pay performance allocations generally include a clawback provision that, if triggered, may give rise to a contingent obligation requiring the general partner to return amounts to the fund for distribution to the fund investors at the end of the life of the fund. Performance allocations received by the general partners of the respective TPG funds are subject to clawback to the extent the performance allocations received by the general partners exceed the amount the general partners are ultimately entitled to receive based on cumulative fund results.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At September 30, 2026, if all investments held by the TPG funds were liquidated at their current unrealized fair value, there would be clawback of $4.2 million, net of tax, for which a performance fee reserve was recorded within other liabilities in the Condensed Consolidated Statements of Financial Condition.</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At September 30, 2026, if all remaining investments were deemed worthless, a possibility management views as remote, the amount of performance allocations subject to potential clawback would be $2,608.7 million.</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nine months ended September 30, 2026, the general partners made no payments on the clawback liability.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Legal Actions and Other Proceedings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involved in legal proceedings, litigation and claims incidental to the conduct of our business, including with respect to acquisitions, bankruptcy, insolvency and other types of proceedings. Such lawsuits may involve claims against our portfolio companies that adversely affect the value of certain investments owned by TPG’s funds. The Company’s business is also subject to extensive regulation, which has and may result in the Company becoming subject to examinations, inquiries and investigations by various U.S. and non-U.S. governmental and regulatory agencies, including the SEC, Department of Justice, state attorneys general, Financial Industry Regulatory Authority and the U.K. Financial Conduct Authority. Such examinations, inquiries and investigations may result in the commencement of civil, criminal or administrative proceedings or fines against the Company or its personnel.</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accrues a liability for legal proceedings in accordance with U.S. GAAP. In particular, the Company establishes an accrued liability for loss contingencies when a settlement arising from a legal proceeding is both probable and reasonably estimable. If the matter is not probable or reasonably estimable, no such liability is recorded. Examples of this include: (i) the proceedings may be in early stages; (ii) damages sought may be unspecified, unsupportable, unexplained or uncertain; (iii) discovery may not have started or is incomplete; (iv) there may be uncertainty as to the outcome of pending appeals or motions; (v) there may be significant factual issues to be resolved or (vi) there may be novel legal issues or unsettled legal theories to be presented or a large number of parties. Consequently, management is unable to estimate a range of potential loss, if any, related to such matters. Even when the Company accrues a liability for a loss contingency in such cases, there may be an exposure to loss in excess of any amounts accrued. Loss contingencies may be, in part or in whole, subject to insurance or other payments such as contributions and/or indemnity, which may reduce any ultimate loss.</w:t>
      </w:r>
    </w:p>
    <w:p>
      <w:pPr>
        <w:spacing w:after="0" w:line="18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Based on information presently known by management, the Company has not recorded a potential liability related to any pending legal proceeding except as disclosed below, and is not subject to any legal proceedings that we expect to have a material impact on our operations, financial positions or cash flows. It is not possible, however, to predict the ultimate outcome of all pending legal proceedings, and the claimants in the matter discussed below seek potentially large and indeterminate amounts. As such, although we do not consider such an outcome likely, given the inherent unpredictability of legal proceedings, it is possible that an adverse outcome in the matter described below or certain other matters could have a material effect on the Company’s financial results in any particular period.</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Since 2011, a number of TPG-related entities and individuals have been named as defendants/respondents in a series of lawsuits in the United States, United Kingdom, and Luxembourg concerning an investment TPG held from 2005-2007 in a Greek telecommunications company, known then as TIM Hellas (“Hellas”). Entities and individuals related to Apax Partners, a London based investment firm also invested in Hellas at the time, have been named in the lawsuits as well. The cases all allege generally that a late 2006 refinancing of the Hellas group of companies was improper. To date, most of the lawsuits have been dismissed, with those dismissals upheld on appeal, or the appeal period has passed. Most recently, in May 2026 the New York Appellate Division dismissed a New York State court case and the deadline to appeal has passed. In June 2026 the Court of Appeal of Luxembourg rejected the appeal of a District Court case that had been decided in favor of the TPG and Apax-related defendants, and a further appeal of that decision is pending. Claims filed in 2024 by another group of plaintiffs, similarly situated to those in the other already dismissed cases, remain pending. The Company believes that any remaining claims related to the Hellas investment are without merit and intends to continue to defend them vigorously.</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representations and warranties that provide general indemnifications. In addition, certain of the Company’s funds have provided certain indemnities relating to environmental and other matters and have provided nonrecourse carve-out guarantees for fraud, willful misconduct and other customary wrongful acts, each in connection with the financing of certain real estate investments that the Company has made. The Company’s maximum exposure under these arrangements is unknown as this would involve future claims that may be made against the Company that have not yet occurred. However, based on experience, the Company expects the risk of material loss to be remote.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Income (Loss) Per Class A Common Share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calculates its basic and diluted income (loss) per share using the two-class method for all periods presented, which defines unvested share-based payment awards that contain nonforfeitable rights to dividends as participating securities. The two-class method is an allocation formula that determines income per share for each share of common stock and participating securities according to dividends declared and participation rights in undistributed earnings. Under this method, all income (distributed and undistributed) is allocated to common shares and participating securities based on their respective rights to receive dividends.</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computing the dilutive effect that the exchange of TPG Operating Group partnership units would have on net income available to Class A common stock per share, TPG considered that net income (loss) available to holders of shares of Class A common stock would increase due to the elimination of non-controlling interests in the TPG Operating Group, inclusive of any tax impact. The hypothetical conversion may be dilutive to the extent there is activity at the TPG Inc. level that has not previously been attributed to the non-controlling interests or if there is a change in tax rate as a result of a hypothetical conversion.</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reconciliations of the numerators and denominators used to compute basic and diluted net income (loss) per share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stock (in thousands, except share and per share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6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8"/>
                <w:szCs w:val="18"/>
                <w:color w:val="auto"/>
              </w:rPr>
            </w:pPr>
          </w:p>
        </w:tc>
        <w:tc>
          <w:tcPr>
            <w:tcW w:w="2840" w:type="dxa"/>
            <w:vAlign w:val="bottom"/>
            <w:gridSpan w:val="4"/>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50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263,845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199,230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460,242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317,169</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209,695</w:t>
            </w:r>
          </w:p>
        </w:tc>
        <w:tc>
          <w:tcPr>
            <w:tcW w:w="0" w:type="dxa"/>
            <w:vAlign w:val="bottom"/>
          </w:tcPr>
          <w:p>
            <w:pPr>
              <w:spacing w:after="0"/>
              <w:rPr>
                <w:sz w:val="1"/>
                <w:szCs w:val="1"/>
                <w:color w:val="auto"/>
              </w:rPr>
            </w:pPr>
          </w:p>
        </w:tc>
      </w:tr>
      <w:tr>
        <w:trPr>
          <w:trHeight w:val="155"/>
        </w:trPr>
        <w:tc>
          <w:tcPr>
            <w:tcW w:w="5020" w:type="dxa"/>
            <w:vAlign w:val="bottom"/>
            <w:shd w:val="clear" w:color="auto" w:fill="CCEEFF"/>
          </w:tcPr>
          <w:p>
            <w:pPr>
              <w:ind w:left="56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attributable to Class A Common</w:t>
            </w: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Stockholders prior to distributions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191,607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107,474</w:t>
            </w:r>
          </w:p>
        </w:tc>
        <w:tc>
          <w:tcPr>
            <w:tcW w:w="0" w:type="dxa"/>
            <w:vAlign w:val="bottom"/>
          </w:tcPr>
          <w:p>
            <w:pPr>
              <w:spacing w:after="0"/>
              <w:rPr>
                <w:sz w:val="1"/>
                <w:szCs w:val="1"/>
                <w:color w:val="auto"/>
              </w:rPr>
            </w:pPr>
          </w:p>
        </w:tc>
      </w:tr>
      <w:tr>
        <w:trPr>
          <w:trHeight w:val="175"/>
        </w:trPr>
        <w:tc>
          <w:tcPr>
            <w:tcW w:w="502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Reallocation of earnings to unvested participating restricted</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tcPr>
          <w:p>
            <w:pPr>
              <w:ind w:left="620"/>
              <w:spacing w:after="0" w:line="243" w:lineRule="exact"/>
              <w:rPr>
                <w:sz w:val="20"/>
                <w:szCs w:val="20"/>
                <w:color w:val="auto"/>
              </w:rPr>
            </w:pPr>
            <w:r>
              <w:rPr>
                <w:rFonts w:ascii="Times New Roman" w:cs="Times New Roman" w:eastAsia="Times New Roman" w:hAnsi="Times New Roman"/>
                <w:sz w:val="18"/>
                <w:szCs w:val="18"/>
                <w:color w:val="auto"/>
              </w:rPr>
              <w:t>stock units</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(56,304)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(49,556)</w:t>
            </w:r>
          </w:p>
        </w:tc>
        <w:tc>
          <w:tcPr>
            <w:tcW w:w="0" w:type="dxa"/>
            <w:vAlign w:val="bottom"/>
          </w:tcPr>
          <w:p>
            <w:pPr>
              <w:spacing w:after="0"/>
              <w:rPr>
                <w:sz w:val="1"/>
                <w:szCs w:val="1"/>
                <w:color w:val="auto"/>
              </w:rPr>
            </w:pPr>
          </w:p>
        </w:tc>
      </w:tr>
      <w:tr>
        <w:trPr>
          <w:trHeight w:val="156"/>
        </w:trPr>
        <w:tc>
          <w:tcPr>
            <w:tcW w:w="5020" w:type="dxa"/>
            <w:vAlign w:val="bottom"/>
            <w:shd w:val="clear" w:color="auto" w:fill="CCEEFF"/>
          </w:tcPr>
          <w:p>
            <w:pPr>
              <w:ind w:left="56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attributable to Class A Common</w:t>
            </w: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Stockholders - Basic</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135,303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57,918</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w w:val="99"/>
              </w:rPr>
              <w:t>Net income (loss) assuming exchange of non-controlling interest</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156"/>
        </w:trPr>
        <w:tc>
          <w:tcPr>
            <w:tcW w:w="5020" w:type="dxa"/>
            <w:vAlign w:val="bottom"/>
            <w:shd w:val="clear" w:color="auto" w:fill="CCEEFF"/>
          </w:tcPr>
          <w:p>
            <w:pPr>
              <w:ind w:left="460"/>
              <w:spacing w:after="0" w:line="156" w:lineRule="exact"/>
              <w:rPr>
                <w:sz w:val="20"/>
                <w:szCs w:val="20"/>
                <w:color w:val="auto"/>
              </w:rPr>
            </w:pPr>
            <w:r>
              <w:rPr>
                <w:rFonts w:ascii="Times New Roman" w:cs="Times New Roman" w:eastAsia="Times New Roman" w:hAnsi="Times New Roman"/>
                <w:sz w:val="18"/>
                <w:szCs w:val="18"/>
                <w:b w:val="1"/>
                <w:bCs w:val="1"/>
                <w:color w:val="auto"/>
              </w:rPr>
              <w:t>Net income attributable to Class A Common Stockholders</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158,387</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77,217</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222,349</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57,571</w:t>
            </w:r>
          </w:p>
        </w:tc>
        <w:tc>
          <w:tcPr>
            <w:tcW w:w="0" w:type="dxa"/>
            <w:vAlign w:val="bottom"/>
          </w:tcPr>
          <w:p>
            <w:pPr>
              <w:spacing w:after="0"/>
              <w:rPr>
                <w:sz w:val="1"/>
                <w:szCs w:val="1"/>
                <w:color w:val="auto"/>
              </w:rPr>
            </w:pPr>
          </w:p>
        </w:tc>
      </w:tr>
      <w:tr>
        <w:trPr>
          <w:trHeight w:val="236"/>
        </w:trPr>
        <w:tc>
          <w:tcPr>
            <w:tcW w:w="50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 Diluted</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Weighted-Average Shares of Common Stock Outstanding -</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171,184,988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150,527,419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165,205,826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133,901,421</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Exchange of Common Units to Class A Common Stock</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214,480,631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227,818,528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219,749,696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238,747,805</w:t>
            </w:r>
          </w:p>
        </w:tc>
        <w:tc>
          <w:tcPr>
            <w:tcW w:w="0" w:type="dxa"/>
            <w:vAlign w:val="bottom"/>
          </w:tcPr>
          <w:p>
            <w:pPr>
              <w:spacing w:after="0"/>
              <w:rPr>
                <w:sz w:val="1"/>
                <w:szCs w:val="1"/>
                <w:color w:val="auto"/>
              </w:rPr>
            </w:pPr>
          </w:p>
        </w:tc>
      </w:tr>
      <w:tr>
        <w:trPr>
          <w:trHeight w:val="155"/>
        </w:trPr>
        <w:tc>
          <w:tcPr>
            <w:tcW w:w="5020" w:type="dxa"/>
            <w:vAlign w:val="bottom"/>
            <w:shd w:val="clear" w:color="auto" w:fill="CCEEFF"/>
          </w:tcPr>
          <w:p>
            <w:pPr>
              <w:ind w:left="460"/>
              <w:spacing w:after="0" w:line="156" w:lineRule="exact"/>
              <w:rPr>
                <w:sz w:val="20"/>
                <w:szCs w:val="20"/>
                <w:color w:val="auto"/>
              </w:rPr>
            </w:pPr>
            <w:r>
              <w:rPr>
                <w:rFonts w:ascii="Times New Roman" w:cs="Times New Roman" w:eastAsia="Times New Roman" w:hAnsi="Times New Roman"/>
                <w:sz w:val="18"/>
                <w:szCs w:val="18"/>
                <w:b w:val="1"/>
                <w:bCs w:val="1"/>
                <w:color w:val="auto"/>
                <w:w w:val="99"/>
              </w:rPr>
              <w:t>Weighted-Average Shares of Common Stock Outstanding -</w:t>
            </w:r>
          </w:p>
        </w:tc>
        <w:tc>
          <w:tcPr>
            <w:tcW w:w="20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385,665,619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378,345,947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384,955,522</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372,649,226</w:t>
            </w:r>
          </w:p>
        </w:tc>
        <w:tc>
          <w:tcPr>
            <w:tcW w:w="0" w:type="dxa"/>
            <w:vAlign w:val="bottom"/>
          </w:tcPr>
          <w:p>
            <w:pPr>
              <w:spacing w:after="0"/>
              <w:rPr>
                <w:sz w:val="1"/>
                <w:szCs w:val="1"/>
                <w:color w:val="auto"/>
              </w:rPr>
            </w:pPr>
          </w:p>
        </w:tc>
      </w:tr>
      <w:tr>
        <w:trPr>
          <w:trHeight w:val="236"/>
        </w:trPr>
        <w:tc>
          <w:tcPr>
            <w:tcW w:w="50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available to Class A common stock per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Dividends declared per share of Class A Common Stock</w:t>
            </w:r>
            <w:r>
              <w:rPr>
                <w:rFonts w:ascii="Times New Roman" w:cs="Times New Roman" w:eastAsia="Times New Roman" w:hAnsi="Times New Roman"/>
                <w:sz w:val="23"/>
                <w:szCs w:val="23"/>
                <w:color w:val="auto"/>
                <w:vertAlign w:val="superscript"/>
              </w:rPr>
              <w:t>(b)</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9" w:lineRule="exact"/>
        <w:rPr>
          <w:sz w:val="20"/>
          <w:szCs w:val="20"/>
          <w:color w:val="auto"/>
        </w:rPr>
      </w:pPr>
    </w:p>
    <w:p>
      <w:pPr>
        <w:ind w:left="500" w:right="20" w:hanging="492"/>
        <w:spacing w:after="0" w:line="282" w:lineRule="auto"/>
        <w:tabs>
          <w:tab w:leader="none" w:pos="497"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undistributed losses were allocated to unvested participating RSUs during the three and nine months ended September 30, 2026 and 2025, as the holders do not have a contractual obligation to share in the losses of the Company with common stockholders.</w:t>
      </w:r>
    </w:p>
    <w:p>
      <w:pPr>
        <w:spacing w:after="0" w:line="13" w:lineRule="exact"/>
        <w:rPr>
          <w:rFonts w:ascii="Times New Roman" w:cs="Times New Roman" w:eastAsia="Times New Roman" w:hAnsi="Times New Roman"/>
          <w:sz w:val="14"/>
          <w:szCs w:val="14"/>
          <w:color w:val="auto"/>
        </w:rPr>
      </w:pPr>
    </w:p>
    <w:p>
      <w:pPr>
        <w:ind w:left="500" w:hanging="492"/>
        <w:spacing w:after="0" w:line="271" w:lineRule="auto"/>
        <w:tabs>
          <w:tab w:leader="none" w:pos="49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Dividends declared reflects the calendar date of the declaration for each distribution. The third quarter dividends were declared on October 29, 2026 and are payable on November 23, 2026.</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right="8580" w:hanging="492"/>
        <w:spacing w:after="0" w:line="532" w:lineRule="auto"/>
        <w:tabs>
          <w:tab w:leader="none" w:pos="284"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Equity-Based Compensation </w:t>
      </w:r>
      <w:r>
        <w:rPr>
          <w:rFonts w:ascii="Times New Roman" w:cs="Times New Roman" w:eastAsia="Times New Roman" w:hAnsi="Times New Roman"/>
          <w:sz w:val="17"/>
          <w:szCs w:val="17"/>
          <w:b w:val="1"/>
          <w:bCs w:val="1"/>
          <w:i w:val="1"/>
          <w:iCs w:val="1"/>
          <w:color w:val="auto"/>
        </w:rPr>
        <w:t>Restricted Stock Unit Awards</w:t>
      </w:r>
    </w:p>
    <w:p>
      <w:pPr>
        <w:spacing w:after="0" w:line="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Under the Company’s Omnibus Equity Incentive Plan (the “Omnibus Plan”), the Company is permitted to grant equity awards representing ownership interests in TPG Inc.’s Class A common stock. On March 3, 2026, an additional 6,383,349 shares of Class A common stock were registered, increasing the share reserve to 37,744,577, of which 30,250,416 were available to be issued as of September 30, 2026.</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Service Awards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Ordinary Service Awards</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the Company grants equity awards subject to service conditions, granted as part of the Company’s standard incentive structure initiatives. These units generally vest over a term of three to five years. These awards are referred to as “Ordinary Service Awards.”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the Company also grants equity awards that are subject to service conditions, a portion of which are granted on a non-standard basis to reward or incentivize key contributions that advance the Company’s long-term goals of value creation. These non-standard awards are referred to as “Special Purpose Service Awards,” and collectively with Ordinary Service Awards, “Service Awards.” Dividend equivalents are paid on the vested and unvested portion of the Service Awards when the dividend occurs.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Special Purpose Service Awards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conjunction with the IPO in 2022, TPG employees, certain of the Company’s executives and certain non-employees received one-time grants of equity-based awards in the form of Special Purpose Service Awards which entitle the holder to one share of Class A common stock upon vesting. These units generally vest over a term of four to six years.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conjunction with the acquisition of Angelo Gordon, the Company agreed to grant an aggregate of 8.4 million Special Purpose Service Awards to former Angelo Gordon employees to promote retention post-closing, of which 4.9 million are outstanding to date. These units generally vest over a term of five years.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Additionally, in connection with the acquisition of Peppertree, the Company granted 0.3 million Special Purpose Service Awards to former Peppertree employees. These units generally vest over a term of five years.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Special Purpose IPO Executive Service Awards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Under the Omnibus Plan and in conjunction with the IPO, the Company granted 1.1 million restricted stock units as Special Purpose Service Awards in order to incentivize and retain key members of management and further their alignment with our shareholders (the “IPO Executive Service Awards”). The IPO Executive Service Awards are subject to service-based vesting conditions over a five-year service period with vesting having commenced on the second anniversary of the grant date. Compensation expense for these awards is recognized on a straight-line basis.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Special Purpose CEO Service Award</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Under the Omnibus Plan, the Company granted a long-term performance incentive award to the Company’s CEO on November 30, 2023, comprised of 2.6 million restricted stock units as Special Purpose Service Awards, intended to incentivize the CEO to drive stockholder value in a manner that is aligned with stockholder interests, reward him for organic and inorganic Company growth, and bring his compensation in-line with peer competitors in order to promote and ensure retention (the “CEO Service Award”). The CEO Service Award is subject to service-based vesting conditions over a four-year service period and is scheduled to vest 25% on each of January 13, 2025, 2026, 2027 and 2028. Compensation expense for this award is recognized on a straight-line basis.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Special Purpose Executive Chairman Service Award</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Under the Omnibus Plan, the Company granted a long-term performance incentive award to the Company’s Executive Chairman on August 19, 2025, comprised of 0.3 million restricted stock units as Special Purpose Service Awards, intended to incentivize the Executive Chairman to drive stockholder value in a manner that is aligned with stockholder interests, including recognizing the Executive Chairman’s role in the establishment of the firm’s Impact platform and incentivizing his continued leadership of the platform (the “Executive Chairman Service Award”). The Executive Chairman Service Award is subject to service-based vesting conditions over a four-year service period and is scheduled to vest 25% on each of July 15, 2026, 2027, 2028 and 2029. Compensation expense for this award is recognized on a straight-line basis.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outstanding RSUs for Service Awards as of September 30, 2026 (in millions, including share data):</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Units</w:t>
            </w:r>
          </w:p>
        </w:tc>
        <w:tc>
          <w:tcPr>
            <w:tcW w:w="120" w:type="dxa"/>
            <w:vAlign w:val="bottom"/>
          </w:tcPr>
          <w:p>
            <w:pPr>
              <w:spacing w:after="0"/>
              <w:rPr>
                <w:sz w:val="16"/>
                <w:szCs w:val="16"/>
                <w:color w:val="auto"/>
              </w:rPr>
            </w:pPr>
          </w:p>
        </w:tc>
        <w:tc>
          <w:tcPr>
            <w:tcW w:w="250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Compensation Expense for the</w:t>
            </w:r>
          </w:p>
        </w:tc>
        <w:tc>
          <w:tcPr>
            <w:tcW w:w="262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Compensation Expense for the Nine</w:t>
            </w:r>
          </w:p>
        </w:tc>
        <w:tc>
          <w:tcPr>
            <w:tcW w:w="160" w:type="dxa"/>
            <w:vAlign w:val="bottom"/>
          </w:tcPr>
          <w:p>
            <w:pPr>
              <w:spacing w:after="0"/>
              <w:rPr>
                <w:sz w:val="16"/>
                <w:szCs w:val="16"/>
                <w:color w:val="auto"/>
              </w:rPr>
            </w:pPr>
          </w:p>
        </w:tc>
        <w:tc>
          <w:tcPr>
            <w:tcW w:w="1260" w:type="dxa"/>
            <w:vAlign w:val="bottom"/>
            <w:vMerge w:val="restart"/>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Unrecognized</w:t>
            </w:r>
          </w:p>
        </w:tc>
        <w:tc>
          <w:tcPr>
            <w:tcW w:w="0" w:type="dxa"/>
            <w:vAlign w:val="bottom"/>
          </w:tcPr>
          <w:p>
            <w:pPr>
              <w:spacing w:after="0"/>
              <w:rPr>
                <w:sz w:val="1"/>
                <w:szCs w:val="1"/>
                <w:color w:val="auto"/>
              </w:rPr>
            </w:pPr>
          </w:p>
        </w:tc>
      </w:tr>
      <w:tr>
        <w:trPr>
          <w:trHeight w:val="68"/>
        </w:trPr>
        <w:tc>
          <w:tcPr>
            <w:tcW w:w="326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400" w:type="dxa"/>
            <w:vAlign w:val="bottom"/>
            <w:gridSpan w:val="4"/>
            <w:vMerge w:val="restart"/>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2400" w:type="dxa"/>
            <w:vAlign w:val="bottom"/>
            <w:gridSpan w:val="4"/>
            <w:vMerge w:val="restart"/>
          </w:tcPr>
          <w:p>
            <w:pPr>
              <w:jc w:val="right"/>
              <w:ind w:right="634"/>
              <w:spacing w:after="0"/>
              <w:rPr>
                <w:sz w:val="20"/>
                <w:szCs w:val="20"/>
                <w:color w:val="auto"/>
              </w:rPr>
            </w:pPr>
            <w:r>
              <w:rPr>
                <w:rFonts w:ascii="Times New Roman" w:cs="Times New Roman" w:eastAsia="Times New Roman" w:hAnsi="Times New Roman"/>
                <w:sz w:val="16"/>
                <w:szCs w:val="16"/>
                <w:b w:val="1"/>
                <w:bCs w:val="1"/>
                <w:color w:val="auto"/>
              </w:rPr>
              <w:t>Months Ended,</w:t>
            </w:r>
          </w:p>
        </w:tc>
        <w:tc>
          <w:tcPr>
            <w:tcW w:w="10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32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6"/>
                <w:szCs w:val="16"/>
                <w:b w:val="1"/>
                <w:bCs w:val="1"/>
                <w:color w:val="auto"/>
              </w:rPr>
              <w:t>Outstanding as</w:t>
            </w:r>
          </w:p>
        </w:tc>
        <w:tc>
          <w:tcPr>
            <w:tcW w:w="12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55"/>
              <w:spacing w:after="0" w:line="14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0" w:type="dxa"/>
            <w:vAlign w:val="bottom"/>
          </w:tcPr>
          <w:p>
            <w:pPr>
              <w:spacing w:after="0"/>
              <w:rPr>
                <w:sz w:val="1"/>
                <w:szCs w:val="1"/>
                <w:color w:val="auto"/>
              </w:rPr>
            </w:pPr>
          </w:p>
        </w:tc>
      </w:tr>
      <w:tr>
        <w:trPr>
          <w:trHeight w:val="156"/>
        </w:trPr>
        <w:tc>
          <w:tcPr>
            <w:tcW w:w="3260" w:type="dxa"/>
            <w:vAlign w:val="bottom"/>
          </w:tcPr>
          <w:p>
            <w:pPr>
              <w:spacing w:after="0"/>
              <w:rPr>
                <w:sz w:val="13"/>
                <w:szCs w:val="13"/>
                <w:color w:val="auto"/>
              </w:rPr>
            </w:pPr>
          </w:p>
        </w:tc>
        <w:tc>
          <w:tcPr>
            <w:tcW w:w="132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6"/>
                <w:szCs w:val="16"/>
                <w:b w:val="1"/>
                <w:bCs w:val="1"/>
                <w:color w:val="auto"/>
              </w:rPr>
              <w:t>of September 30,</w:t>
            </w:r>
          </w:p>
        </w:tc>
        <w:tc>
          <w:tcPr>
            <w:tcW w:w="120" w:type="dxa"/>
            <w:vAlign w:val="bottom"/>
          </w:tcPr>
          <w:p>
            <w:pPr>
              <w:spacing w:after="0"/>
              <w:rPr>
                <w:sz w:val="13"/>
                <w:szCs w:val="13"/>
                <w:color w:val="auto"/>
              </w:rPr>
            </w:pPr>
          </w:p>
        </w:tc>
        <w:tc>
          <w:tcPr>
            <w:tcW w:w="120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120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3"/>
                <w:szCs w:val="13"/>
                <w:color w:val="auto"/>
              </w:rPr>
            </w:pPr>
          </w:p>
        </w:tc>
        <w:tc>
          <w:tcPr>
            <w:tcW w:w="120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120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3"/>
                <w:szCs w:val="13"/>
                <w:color w:val="auto"/>
              </w:rPr>
            </w:pPr>
          </w:p>
        </w:tc>
        <w:tc>
          <w:tcPr>
            <w:tcW w:w="1260" w:type="dxa"/>
            <w:vAlign w:val="bottom"/>
          </w:tcPr>
          <w:p>
            <w:pPr>
              <w:jc w:val="center"/>
              <w:ind w:right="75"/>
              <w:spacing w:after="0" w:line="155" w:lineRule="exact"/>
              <w:rPr>
                <w:sz w:val="20"/>
                <w:szCs w:val="20"/>
                <w:color w:val="auto"/>
              </w:rPr>
            </w:pPr>
            <w:r>
              <w:rPr>
                <w:rFonts w:ascii="Times New Roman" w:cs="Times New Roman" w:eastAsia="Times New Roman" w:hAnsi="Times New Roman"/>
                <w:sz w:val="16"/>
                <w:szCs w:val="16"/>
                <w:b w:val="1"/>
                <w:bCs w:val="1"/>
                <w:color w:val="auto"/>
              </w:rPr>
              <w:t>Expense as of</w:t>
            </w:r>
          </w:p>
        </w:tc>
        <w:tc>
          <w:tcPr>
            <w:tcW w:w="0" w:type="dxa"/>
            <w:vAlign w:val="bottom"/>
          </w:tcPr>
          <w:p>
            <w:pPr>
              <w:spacing w:after="0"/>
              <w:rPr>
                <w:sz w:val="1"/>
                <w:szCs w:val="1"/>
                <w:color w:val="auto"/>
              </w:rPr>
            </w:pPr>
          </w:p>
        </w:tc>
      </w:tr>
      <w:tr>
        <w:trPr>
          <w:trHeight w:val="214"/>
        </w:trPr>
        <w:tc>
          <w:tcPr>
            <w:tcW w:w="32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0" w:type="dxa"/>
            <w:vAlign w:val="bottom"/>
          </w:tcPr>
          <w:p>
            <w:pPr>
              <w:spacing w:after="0"/>
              <w:rPr>
                <w:sz w:val="1"/>
                <w:szCs w:val="1"/>
                <w:color w:val="auto"/>
              </w:rPr>
            </w:pPr>
          </w:p>
        </w:tc>
      </w:tr>
      <w:tr>
        <w:trPr>
          <w:trHeight w:val="238"/>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Ordinary Service Awards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0" w:type="dxa"/>
            <w:vAlign w:val="bottom"/>
          </w:tcPr>
          <w:p>
            <w:pPr>
              <w:spacing w:after="0"/>
              <w:rPr>
                <w:sz w:val="1"/>
                <w:szCs w:val="1"/>
                <w:color w:val="auto"/>
              </w:rPr>
            </w:pPr>
          </w:p>
        </w:tc>
      </w:tr>
      <w:tr>
        <w:trPr>
          <w:trHeight w:val="257"/>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 Purpose Service Awards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Service Award RSUs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2026 and 2025 the Company granted 8.1 million and 4.3 million Service Awards, respectively. The grant date fair value was the public share price on each respective grant date.</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rollforward of the Company’s unvested Service Awards for the nine months ended September 30, 2026 (awards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20" w:type="dxa"/>
            <w:vAlign w:val="bottom"/>
          </w:tcPr>
          <w:p>
            <w:pPr>
              <w:spacing w:after="0"/>
              <w:rPr>
                <w:sz w:val="16"/>
                <w:szCs w:val="16"/>
                <w:color w:val="auto"/>
              </w:rPr>
            </w:pPr>
          </w:p>
        </w:tc>
        <w:tc>
          <w:tcPr>
            <w:tcW w:w="1620" w:type="dxa"/>
            <w:vAlign w:val="bottom"/>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Service Awards</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Weighted-Average Grant Date</w:t>
            </w:r>
          </w:p>
        </w:tc>
        <w:tc>
          <w:tcPr>
            <w:tcW w:w="0" w:type="dxa"/>
            <w:vAlign w:val="bottom"/>
          </w:tcPr>
          <w:p>
            <w:pPr>
              <w:spacing w:after="0"/>
              <w:rPr>
                <w:sz w:val="1"/>
                <w:szCs w:val="1"/>
                <w:color w:val="auto"/>
              </w:rPr>
            </w:pPr>
          </w:p>
        </w:tc>
      </w:tr>
      <w:tr>
        <w:trPr>
          <w:trHeight w:val="214"/>
        </w:trPr>
        <w:tc>
          <w:tcPr>
            <w:tcW w:w="66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6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0" w:type="dxa"/>
            <w:vAlign w:val="bottom"/>
          </w:tcPr>
          <w:p>
            <w:pPr>
              <w:spacing w:after="0"/>
              <w:rPr>
                <w:sz w:val="1"/>
                <w:szCs w:val="1"/>
                <w:color w:val="auto"/>
              </w:rPr>
            </w:pPr>
          </w:p>
        </w:tc>
      </w:tr>
      <w:tr>
        <w:trPr>
          <w:trHeight w:val="257"/>
        </w:trPr>
        <w:tc>
          <w:tcPr>
            <w:tcW w:w="8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0" w:type="dxa"/>
            <w:vAlign w:val="bottom"/>
          </w:tcPr>
          <w:p>
            <w:pPr>
              <w:spacing w:after="0"/>
              <w:rPr>
                <w:sz w:val="1"/>
                <w:szCs w:val="1"/>
                <w:color w:val="auto"/>
              </w:rPr>
            </w:pPr>
          </w:p>
        </w:tc>
      </w:tr>
      <w:tr>
        <w:trPr>
          <w:trHeight w:val="256"/>
        </w:trPr>
        <w:tc>
          <w:tcPr>
            <w:tcW w:w="8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0" w:type="dxa"/>
            <w:vAlign w:val="bottom"/>
          </w:tcPr>
          <w:p>
            <w:pPr>
              <w:spacing w:after="0"/>
              <w:rPr>
                <w:sz w:val="1"/>
                <w:szCs w:val="1"/>
                <w:color w:val="auto"/>
              </w:rPr>
            </w:pPr>
          </w:p>
        </w:tc>
      </w:tr>
      <w:tr>
        <w:trPr>
          <w:trHeight w:val="257"/>
        </w:trPr>
        <w:tc>
          <w:tcPr>
            <w:tcW w:w="6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6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0" w:type="dxa"/>
            <w:vAlign w:val="bottom"/>
          </w:tcPr>
          <w:p>
            <w:pPr>
              <w:spacing w:after="0"/>
              <w:rPr>
                <w:sz w:val="1"/>
                <w:szCs w:val="1"/>
                <w:color w:val="auto"/>
              </w:rPr>
            </w:pPr>
          </w:p>
        </w:tc>
      </w:tr>
      <w:tr>
        <w:trPr>
          <w:trHeight w:val="24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2026, there was approximately $750.3 million of total estimated unrecognized compensation expense related to unvested Service Awards, which is expected to be recognized over the weighted average remaining requisite service period of 3.0 years.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Market and Performance Condition Awards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Ordinary Performance Condition Awards</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ordinary course of business, the Company grants equity awards, subject to a combination of service and performance conditions, as part of the Company’s standard incentive structure initiatives. These awards are referred to as (“Ordinary Performance Condition Awards”).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From time to time, the Company grants equity awards that are subject to a combination of service and market conditions, granted on a non-standard basis to reward or incentivize key contributions that advance the Company’s long-term goals of value creation. These awards are referred to as (“Special Purpose Market Condition Awards,” and collectively with the Ordinary Performance Condition Awards, “Market and Performance Condition Awards”).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Special Purpose IPO Executive Market Condition Awards</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Under the Omnibus Plan and in conjunction with the IPO, the Company also granted 1.1 million restricted stock units as Special Purpose Market Condition Awards in order to incentivize and retain key members of management and further their alignment with our shareholders (the “IPO Executive Market Condition Awards”). The IPO Executive Market Condition Awards are subject to both market performance and service based vesting conditions, including (i) a time-based component requiring a five-year service period and (ii) a market price component with a target Class A common stock share price at $44.25 within five years and $59.00 within eight years. Dividend equivalents accrue on the vested and unvested Special Purpose Service Awards when the dividend occurs. Dividend equivalents accrue for the vested and unvested portions of the IPO Executive Market Condition Awards and are paid only when both the applicable service and market performance conditions are satisfied.</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Compensation expense for the IPO Executive Market Condition Awards is recognized using the accelerated attribution method on a tranche-by-tranche basis. During 2024, both market price components of Class A common stock share price of $44.25 and $59.00 were met. During the nine months ended September 30, 2026, 0.2 million IPO Executive Market Condition Awards vested.</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Special Purpose CEO Market Conditions Award</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long-term performance incentive award granted to the CEO under the Omnibus Plan on November 30, 2023, is also comprised of 3.9 million restricted stock units as Special Purpose Market Condition Awards, and is intended to incentivize the CEO to drive stockholder value in a manner that is aligned with stockholder interests, reward him for organic and inorganic Company growth, and bring his compensation in line with peer competitors in order to promote and ensure retention (the “CEO Market Conditions Award”).</w:t>
      </w:r>
    </w:p>
    <w:p>
      <w:pPr>
        <w:spacing w:after="0" w:line="1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CEO Market Conditions Award is subject to both market performance and service based vesting conditions, including (i) a time-based component requiring a five-year service period and (ii) a market price component that is only achieved when the 30-day volume weighted average trading price of a share of Class A common stock meets or exceeds certain stock price hurdles. 25% of each service vesting tranche of the CEO Market Conditions Award is eligible to be earned and vest following achievement of each of the following Class A common stock prices: $52.50, $58.45, $64.05 and $70.00. These stock price hurdles represent a premium of 150%, 167%, 183% and 200%, respectively, of the closing price of a share of Class A common stock on the date of grant. The first market hurdle must be achieved by January 13, 2029, and the remaining hurdles by January 13, 2030. If the applicable market hurdles are not achieved by the specified periods, the applicable portions of the CEO Market Conditions Award will be forfeited. Restricted stock units from the CEO Market Conditions Award that (i) vest prior to January 13, 2029 will be settled promptly following January 13, 2029, and (ii) vest after January 13, 2029 will be settled promptly following January 13, 2030, subject to certain other accelerated settlement conditions. Dividend equivalents accrue for the vested and unvested portions of the CEO Market Conditions Award and are paid only if and when both the applicable service and market conditions are satisfied.</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Compensation expense for the CEO Market Conditions Award is recognized using the accelerated attribution method on a tranche-by-tranche basis. During 2024, the first three market hurdles of the CEO Market Conditions Award of Class A common stock share prices of $52.50, $58.45 and $64.05 were met. As such, 20% of these tranches have vested or will vest on each of January 13, 2025, 2026, 2027, 2028 and 2029.</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Special Purpose Executive Chairman Market Conditions Award</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long-term performance incentive award granted to the Executive Chairman under the Omnibus Plan on August 19, 2025, is also comprised of 0.5 million restricted stock units as Special Purpose Market Condition Awards, and is intended to incentivize the Executive Chairman to drive stockholder value in a manner that is aligned with stockholder interests, including recognizing the Executive Chairman’s role in the establishment of the firm’s Impact platform and incentivizing his continued leadership of the platform (the “Executive Chairman Market Conditions Award”).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Executive Chairman Market Conditions Award is subject to both market performance and service based vesting conditions, including (i) a time-based component requiring a five-year service period and (ii) a market price component that is only achieved when the 30-trading day volume weighted average trading price of a share of Class A common stock meets or exceeds certain stock price hurdles. 25% of each service vesting tranche of the Executive Chairman Market Conditions Award is eligible to be earned and vest following achievement of each of the following Class A common stock prices: $90.98, $101.29, $110.99 and $121.30. These stock price hurdles represent a premium of 150%, 167%, 183% and 200%, respectively, of the closing price of a share of Class A common stock on the date of grant. The first market hurdle must be achieved by July 15, 2030, and the remaining hurdles by July 15, 2031. If the applicable market hurdles are not achieved by the specified periods, the applicable portions of the Executive Chairman Market Conditions Award will be forfeited. Restricted stock units from the Executive Chairman Market Conditions Award that (i) vest prior to July 15, 2030, will be settled promptly following July 15, 2030, and (ii) vest after July 15, 2030, will be settled promptly following July 15, 2031, subject to certain other accelerated settlement conditions. Dividend equivalents accrue for the vested and unvested portions of the Executive Chairman Market Conditions Award and are paid only if and when both the applicable service and market conditions are satisfied.</w:t>
      </w:r>
    </w:p>
    <w:p>
      <w:pPr>
        <w:spacing w:after="0" w:line="1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Compensation expense for the Executive Chairman Market Conditions Award is recognized using the accelerated attribution method on a tranche-by-tranche basis.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RSUs for Market and Performance Condition Awards as of September 30, 2026 (in millions, including share data):</w:t>
      </w:r>
    </w:p>
    <w:p>
      <w:pPr>
        <w:spacing w:after="0" w:line="23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00" w:type="dxa"/>
            <w:vAlign w:val="bottom"/>
          </w:tcPr>
          <w:p>
            <w:pPr>
              <w:spacing w:after="0"/>
              <w:rPr>
                <w:sz w:val="16"/>
                <w:szCs w:val="16"/>
                <w:color w:val="auto"/>
              </w:rPr>
            </w:pPr>
          </w:p>
        </w:tc>
        <w:tc>
          <w:tcPr>
            <w:tcW w:w="250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Compensation Expense for the</w:t>
            </w:r>
          </w:p>
        </w:tc>
        <w:tc>
          <w:tcPr>
            <w:tcW w:w="120" w:type="dxa"/>
            <w:vAlign w:val="bottom"/>
          </w:tcPr>
          <w:p>
            <w:pPr>
              <w:spacing w:after="0"/>
              <w:rPr>
                <w:sz w:val="16"/>
                <w:szCs w:val="16"/>
                <w:color w:val="auto"/>
              </w:rPr>
            </w:pPr>
          </w:p>
        </w:tc>
        <w:tc>
          <w:tcPr>
            <w:tcW w:w="238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Compensation Expense for the</w:t>
            </w:r>
          </w:p>
        </w:tc>
        <w:tc>
          <w:tcPr>
            <w:tcW w:w="160" w:type="dxa"/>
            <w:vAlign w:val="bottom"/>
          </w:tcPr>
          <w:p>
            <w:pPr>
              <w:spacing w:after="0"/>
              <w:rPr>
                <w:sz w:val="16"/>
                <w:szCs w:val="16"/>
                <w:color w:val="auto"/>
              </w:rPr>
            </w:pPr>
          </w:p>
        </w:tc>
        <w:tc>
          <w:tcPr>
            <w:tcW w:w="1260" w:type="dxa"/>
            <w:vAlign w:val="bottom"/>
            <w:vMerge w:val="restart"/>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Unrecognized</w:t>
            </w: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4"/>
            <w:vMerge w:val="restart"/>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1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240" w:type="dxa"/>
            <w:vAlign w:val="bottom"/>
          </w:tcPr>
          <w:p>
            <w:pPr>
              <w:spacing w:after="0"/>
              <w:rPr>
                <w:sz w:val="9"/>
                <w:szCs w:val="9"/>
                <w:color w:val="auto"/>
              </w:rPr>
            </w:pPr>
          </w:p>
        </w:tc>
        <w:tc>
          <w:tcPr>
            <w:tcW w:w="1320" w:type="dxa"/>
            <w:vAlign w:val="bottom"/>
            <w:gridSpan w:val="2"/>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 as</w:t>
            </w:r>
          </w:p>
        </w:tc>
        <w:tc>
          <w:tcPr>
            <w:tcW w:w="10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gridSpan w:val="3"/>
            <w:vMerge w:val="continue"/>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vMerge w:val="restart"/>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Compensation</w:t>
            </w:r>
          </w:p>
        </w:tc>
        <w:tc>
          <w:tcPr>
            <w:tcW w:w="0" w:type="dxa"/>
            <w:vAlign w:val="bottom"/>
          </w:tcPr>
          <w:p>
            <w:pPr>
              <w:spacing w:after="0"/>
              <w:rPr>
                <w:sz w:val="1"/>
                <w:szCs w:val="1"/>
                <w:color w:val="auto"/>
              </w:rPr>
            </w:pPr>
          </w:p>
        </w:tc>
      </w:tr>
      <w:tr>
        <w:trPr>
          <w:trHeight w:val="36"/>
        </w:trPr>
        <w:tc>
          <w:tcPr>
            <w:tcW w:w="324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3"/>
                <w:szCs w:val="3"/>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3"/>
                <w:szCs w:val="3"/>
                <w:color w:val="auto"/>
              </w:rPr>
            </w:pPr>
          </w:p>
        </w:tc>
        <w:tc>
          <w:tcPr>
            <w:tcW w:w="12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3240" w:type="dxa"/>
            <w:vAlign w:val="bottom"/>
          </w:tcPr>
          <w:p>
            <w:pPr>
              <w:spacing w:after="0"/>
              <w:rPr>
                <w:sz w:val="14"/>
                <w:szCs w:val="14"/>
                <w:color w:val="auto"/>
              </w:rPr>
            </w:pPr>
          </w:p>
        </w:tc>
        <w:tc>
          <w:tcPr>
            <w:tcW w:w="13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of September 30,</w:t>
            </w: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rPr>
              <w:t>Expense as of</w:t>
            </w:r>
          </w:p>
        </w:tc>
        <w:tc>
          <w:tcPr>
            <w:tcW w:w="0" w:type="dxa"/>
            <w:vAlign w:val="bottom"/>
          </w:tcPr>
          <w:p>
            <w:pPr>
              <w:spacing w:after="0"/>
              <w:rPr>
                <w:sz w:val="1"/>
                <w:szCs w:val="1"/>
                <w:color w:val="auto"/>
              </w:rPr>
            </w:pPr>
          </w:p>
        </w:tc>
      </w:tr>
      <w:tr>
        <w:trPr>
          <w:trHeight w:val="214"/>
        </w:trPr>
        <w:tc>
          <w:tcPr>
            <w:tcW w:w="32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0" w:type="dxa"/>
            <w:vAlign w:val="bottom"/>
          </w:tcPr>
          <w:p>
            <w:pPr>
              <w:spacing w:after="0"/>
              <w:rPr>
                <w:sz w:val="1"/>
                <w:szCs w:val="1"/>
                <w:color w:val="auto"/>
              </w:rPr>
            </w:pPr>
          </w:p>
        </w:tc>
      </w:tr>
      <w:tr>
        <w:trPr>
          <w:trHeight w:val="238"/>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Ordinary Performance Condition Awards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2"/>
                <w:szCs w:val="22"/>
                <w:color w:val="auto"/>
              </w:rPr>
            </w:pPr>
          </w:p>
        </w:tc>
        <w:tc>
          <w:tcPr>
            <w:tcW w:w="76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56"/>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Special Purpose Market Condition Awards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174"/>
        </w:trPr>
        <w:tc>
          <w:tcPr>
            <w:tcW w:w="324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Total Market and Performance</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Condition Award RSUs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Pr>
          <w:p>
            <w:pPr>
              <w:spacing w:after="0"/>
              <w:rPr>
                <w:sz w:val="20"/>
                <w:szCs w:val="20"/>
                <w:color w:val="auto"/>
              </w:rPr>
            </w:pPr>
          </w:p>
        </w:tc>
        <w:tc>
          <w:tcPr>
            <w:tcW w:w="7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roll forward of the Company’s unvested Special Purpose Market Condition Awards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(awards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206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Market Condition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w w:val="99"/>
              </w:rPr>
              <w:t>Weighted Average Grant</w:t>
            </w:r>
          </w:p>
        </w:tc>
      </w:tr>
      <w:tr>
        <w:trPr>
          <w:trHeight w:val="214"/>
        </w:trPr>
        <w:tc>
          <w:tcPr>
            <w:tcW w:w="7000" w:type="dxa"/>
            <w:vAlign w:val="bottom"/>
            <w:tcBorders>
              <w:bottom w:val="single" w:sz="8" w:color="CCEEFF"/>
            </w:tcBorders>
          </w:tcPr>
          <w:p>
            <w:pPr>
              <w:spacing w:after="0"/>
              <w:rPr>
                <w:sz w:val="18"/>
                <w:szCs w:val="18"/>
                <w:color w:val="auto"/>
              </w:rPr>
            </w:pPr>
          </w:p>
        </w:tc>
        <w:tc>
          <w:tcPr>
            <w:tcW w:w="20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Date Fair Value</w:t>
            </w:r>
          </w:p>
        </w:tc>
      </w:tr>
      <w:tr>
        <w:trPr>
          <w:trHeight w:val="225"/>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r>
      <w:tr>
        <w:trPr>
          <w:trHeight w:val="257"/>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56"/>
        </w:trPr>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Vested, unsettled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r>
      <w:tr>
        <w:trPr>
          <w:trHeight w:val="257"/>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28"/>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w:t>
            </w:r>
          </w:p>
        </w:tc>
      </w:tr>
    </w:tbl>
    <w:p>
      <w:pPr>
        <w:spacing w:after="0" w:line="27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2026, there was approximately $24.8 million of total estimated unrecognized compensation expense related to unvested Special Purpose Market Condition Awards, which is expected to be recognized over the weighted average remaining requisite service period of 2.0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Total Restricted Stock Units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September 30, 2026, the Company recorded total restricted stock unit compensation expense of $90.3 million and $278.2 million, respectively. For the three and nine months ended September 30, 2025, the Company recorded total restricted stock unit compensation expense of $86.5 million and $259.4 million, respectively. The expense associated with awards granted to certain non-employees of the Company is recognized in general, administrative and other in our Condensed Consolidated Statements of Operations and totaled $1.2 million and $4.2 million for the three and nine months ended September 30, 2026, respectively, and $3.9 million and $12.6 million for the three and nine months ended September 30, 2025, respectively.</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For the three and nine months ended September 30, 2026, the Company had 0.4 million and 8.6 million restricted stock units vest at a fair value of $16.3 million and $555.4 million, respectively (excluding vested, but unsettled units). The restricted stock units were settled by issuing 236,418 shares of TPG Inc. Class A common stock, net of withholding tax of $5.9 million for the three months ended September 30, 2026 and by issuing 5,261,283 shares of TPG Inc. Class A common stock, net of withholding tax of $216.9 million (excluding vested, but unsettled units) for the nine months ended September 30, 2026. For the three and nine months ended September 30, 2025, the Company had 0.2 million and 7.7 million restricted stock units vest at a fair value of $11.6 million and $478.8 million, respectively (excluding vested, but unsettled units). The restricted stock units were settled by issuing 143,599 shares of TPG Inc. Class A common stock, net of withholding tax of $2.9 million for the three months ended September 30, 2025 and by issuing 4,742,805 shares of TPG Inc. Class A common stock, net of withholding tax of $184.6 million (excluding vested, but unsettled units) for the nine months ended September 30, 2025.</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all outstanding restricted stock unit awards as of September 30, 2026 (in millions, including share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gridSpan w:val="5"/>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Compensation Expense for the</w:t>
            </w:r>
          </w:p>
        </w:tc>
        <w:tc>
          <w:tcPr>
            <w:tcW w:w="2660" w:type="dxa"/>
            <w:vAlign w:val="bottom"/>
            <w:gridSpan w:val="6"/>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Compensation Expense for the Nine</w:t>
            </w:r>
          </w:p>
        </w:tc>
        <w:tc>
          <w:tcPr>
            <w:tcW w:w="140" w:type="dxa"/>
            <w:vAlign w:val="bottom"/>
          </w:tcPr>
          <w:p>
            <w:pPr>
              <w:spacing w:after="0"/>
              <w:rPr>
                <w:sz w:val="16"/>
                <w:szCs w:val="16"/>
                <w:color w:val="auto"/>
              </w:rPr>
            </w:pPr>
          </w:p>
        </w:tc>
        <w:tc>
          <w:tcPr>
            <w:tcW w:w="12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Unrecognized</w:t>
            </w: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1380" w:type="dxa"/>
            <w:vAlign w:val="bottom"/>
            <w:gridSpan w:val="2"/>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Units</w:t>
            </w:r>
          </w:p>
        </w:tc>
        <w:tc>
          <w:tcPr>
            <w:tcW w:w="160" w:type="dxa"/>
            <w:vAlign w:val="bottom"/>
          </w:tcPr>
          <w:p>
            <w:pPr>
              <w:spacing w:after="0"/>
              <w:rPr>
                <w:sz w:val="4"/>
                <w:szCs w:val="4"/>
                <w:color w:val="auto"/>
              </w:rPr>
            </w:pPr>
          </w:p>
        </w:tc>
        <w:tc>
          <w:tcPr>
            <w:tcW w:w="2440" w:type="dxa"/>
            <w:vAlign w:val="bottom"/>
            <w:gridSpan w:val="5"/>
            <w:vMerge w:val="continue"/>
          </w:tcPr>
          <w:p>
            <w:pPr>
              <w:spacing w:after="0"/>
              <w:rPr>
                <w:sz w:val="4"/>
                <w:szCs w:val="4"/>
                <w:color w:val="auto"/>
              </w:rPr>
            </w:pPr>
          </w:p>
        </w:tc>
        <w:tc>
          <w:tcPr>
            <w:tcW w:w="2660" w:type="dxa"/>
            <w:vAlign w:val="bottom"/>
            <w:gridSpan w:val="6"/>
            <w:vMerge w:val="continue"/>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vMerge w:val="restart"/>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60" w:type="dxa"/>
            <w:vAlign w:val="bottom"/>
            <w:gridSpan w:val="4"/>
            <w:vMerge w:val="restart"/>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Months Ended,</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240" w:type="dxa"/>
            <w:vAlign w:val="bottom"/>
          </w:tcPr>
          <w:p>
            <w:pPr>
              <w:spacing w:after="0"/>
              <w:rPr>
                <w:sz w:val="9"/>
                <w:szCs w:val="9"/>
                <w:color w:val="auto"/>
              </w:rPr>
            </w:pPr>
          </w:p>
        </w:tc>
        <w:tc>
          <w:tcPr>
            <w:tcW w:w="1380" w:type="dxa"/>
            <w:vAlign w:val="bottom"/>
            <w:gridSpan w:val="2"/>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 as of</w:t>
            </w:r>
          </w:p>
        </w:tc>
        <w:tc>
          <w:tcPr>
            <w:tcW w:w="16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gridSpan w:val="3"/>
            <w:vMerge w:val="continue"/>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6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vMerge w:val="restart"/>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w w:val="99"/>
              </w:rPr>
              <w:t>Expense as of</w:t>
            </w:r>
          </w:p>
        </w:tc>
        <w:tc>
          <w:tcPr>
            <w:tcW w:w="0" w:type="dxa"/>
            <w:vAlign w:val="bottom"/>
          </w:tcPr>
          <w:p>
            <w:pPr>
              <w:spacing w:after="0"/>
              <w:rPr>
                <w:sz w:val="1"/>
                <w:szCs w:val="1"/>
                <w:color w:val="auto"/>
              </w:rPr>
            </w:pPr>
          </w:p>
        </w:tc>
      </w:tr>
      <w:tr>
        <w:trPr>
          <w:trHeight w:val="36"/>
        </w:trPr>
        <w:tc>
          <w:tcPr>
            <w:tcW w:w="324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13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3"/>
                <w:szCs w:val="3"/>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3"/>
                <w:szCs w:val="3"/>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3240" w:type="dxa"/>
            <w:vAlign w:val="bottom"/>
          </w:tcPr>
          <w:p>
            <w:pPr>
              <w:spacing w:after="0"/>
              <w:rPr>
                <w:sz w:val="14"/>
                <w:szCs w:val="14"/>
                <w:color w:val="auto"/>
              </w:rPr>
            </w:pPr>
          </w:p>
        </w:tc>
        <w:tc>
          <w:tcPr>
            <w:tcW w:w="13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300" w:type="dxa"/>
            <w:vAlign w:val="bottom"/>
            <w:gridSpan w:val="3"/>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324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0" w:type="dxa"/>
            <w:vAlign w:val="bottom"/>
          </w:tcPr>
          <w:p>
            <w:pPr>
              <w:spacing w:after="0"/>
              <w:rPr>
                <w:sz w:val="1"/>
                <w:szCs w:val="1"/>
                <w:color w:val="auto"/>
              </w:rPr>
            </w:pPr>
          </w:p>
        </w:tc>
      </w:tr>
      <w:tr>
        <w:trPr>
          <w:trHeight w:val="238"/>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Ordinary Awards:</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Ordinary Service Awards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0" w:type="dxa"/>
            <w:vAlign w:val="bottom"/>
          </w:tcPr>
          <w:p>
            <w:pPr>
              <w:spacing w:after="0"/>
              <w:rPr>
                <w:sz w:val="1"/>
                <w:szCs w:val="1"/>
                <w:color w:val="auto"/>
              </w:rPr>
            </w:pPr>
          </w:p>
        </w:tc>
      </w:tr>
      <w:tr>
        <w:trPr>
          <w:trHeight w:val="257"/>
        </w:trPr>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Ordinary Performance Condition Awards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56"/>
        </w:trPr>
        <w:tc>
          <w:tcPr>
            <w:tcW w:w="32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Special Purpose Awards:</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Special Purpose Service Awards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0" w:type="dxa"/>
            <w:vAlign w:val="bottom"/>
          </w:tcPr>
          <w:p>
            <w:pPr>
              <w:spacing w:after="0"/>
              <w:rPr>
                <w:sz w:val="1"/>
                <w:szCs w:val="1"/>
                <w:color w:val="auto"/>
              </w:rPr>
            </w:pPr>
          </w:p>
        </w:tc>
      </w:tr>
      <w:tr>
        <w:trPr>
          <w:trHeight w:val="198"/>
        </w:trPr>
        <w:tc>
          <w:tcPr>
            <w:tcW w:w="324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Special Purpose Market Condition</w:t>
            </w: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Awards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Restricted Stock Units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Awards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a result of the Reorganization and the IPO in 2022, certain of the Company’s current partners hold restricted indirect interests in Common Units through TPG Partner Holdings and indirect economic interests through RemainCo. TPG Partner Holdings and RemainCo are presented as non-controlling interest holders within the Company’s Condensed Consolidated Financial Statements. The interests in TPG Partner Holdings (“TPH Units”) and indirectly in RemainCo (“RPH Units”) are generally subject to service, or, in certain cases, to both service and performance conditions. Holders of these interests participate in distributions regardless of the vesting status. Additionally, in conjunction with the Reorganization, the IPO and the acquisition of NewQuest, certain TPG partners and NewQuest principals were granted Common Units directly at TPG Operating Group and Class A common stock (collectively, the “Other IPO-Related Awards”) subject to both service and performance conditions.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conjunction with the acquisition of Angelo Gordon, the Company granted 43.8 million of unvested Common Units to former Angelo Gordon partners (included in Common Units below), which are considered compensatory under ASC 718. These units generally vest over a term of five years and participate in distributions at the TPG Operating Group along with all vested equity.</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conjunction with the acquisition of Peppertree, the Company granted 5.4 million of unvested Common Units to Peppertree Co-Presidents (included in Common Units below), which are considered compensatory under ASC 718. These units generally vest over a term of five years and participate in distributions at the TPG Operating Group along with all vested equity.</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outstanding Other Awards as of September 30, 2026 (in millions, including share data):</w:t>
      </w:r>
    </w:p>
    <w:p>
      <w:pPr>
        <w:spacing w:after="0" w:line="200" w:lineRule="exact"/>
        <w:rPr>
          <w:sz w:val="20"/>
          <w:szCs w:val="20"/>
          <w:color w:val="auto"/>
        </w:rPr>
      </w:pPr>
    </w:p>
    <w:p>
      <w:pPr>
        <w:spacing w:after="0" w:line="386"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3200" w:type="dxa"/>
            <w:vAlign w:val="bottom"/>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Unvested</w:t>
            </w:r>
          </w:p>
        </w:tc>
        <w:tc>
          <w:tcPr>
            <w:tcW w:w="160" w:type="dxa"/>
            <w:vAlign w:val="bottom"/>
          </w:tcPr>
          <w:p>
            <w:pPr>
              <w:spacing w:after="0"/>
              <w:rPr>
                <w:sz w:val="16"/>
                <w:szCs w:val="16"/>
                <w:color w:val="auto"/>
              </w:rPr>
            </w:pPr>
          </w:p>
        </w:tc>
        <w:tc>
          <w:tcPr>
            <w:tcW w:w="2460" w:type="dxa"/>
            <w:vAlign w:val="bottom"/>
            <w:gridSpan w:val="5"/>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Compensation Expense for the</w:t>
            </w:r>
          </w:p>
        </w:tc>
        <w:tc>
          <w:tcPr>
            <w:tcW w:w="140" w:type="dxa"/>
            <w:vAlign w:val="bottom"/>
          </w:tcPr>
          <w:p>
            <w:pPr>
              <w:spacing w:after="0"/>
              <w:rPr>
                <w:sz w:val="16"/>
                <w:szCs w:val="16"/>
                <w:color w:val="auto"/>
              </w:rPr>
            </w:pPr>
          </w:p>
        </w:tc>
        <w:tc>
          <w:tcPr>
            <w:tcW w:w="2420" w:type="dxa"/>
            <w:vAlign w:val="bottom"/>
            <w:gridSpan w:val="5"/>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Compensation Expense for the</w:t>
            </w: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3200" w:type="dxa"/>
            <w:vAlign w:val="bottom"/>
          </w:tcPr>
          <w:p>
            <w:pPr>
              <w:spacing w:after="0"/>
              <w:rPr>
                <w:sz w:val="8"/>
                <w:szCs w:val="8"/>
                <w:color w:val="auto"/>
              </w:rPr>
            </w:pPr>
          </w:p>
        </w:tc>
        <w:tc>
          <w:tcPr>
            <w:tcW w:w="1300" w:type="dxa"/>
            <w:vAlign w:val="bottom"/>
            <w:gridSpan w:val="2"/>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Units/Shares</w:t>
            </w:r>
          </w:p>
        </w:tc>
        <w:tc>
          <w:tcPr>
            <w:tcW w:w="160" w:type="dxa"/>
            <w:vAlign w:val="bottom"/>
          </w:tcPr>
          <w:p>
            <w:pPr>
              <w:spacing w:after="0"/>
              <w:rPr>
                <w:sz w:val="8"/>
                <w:szCs w:val="8"/>
                <w:color w:val="auto"/>
              </w:rPr>
            </w:pPr>
          </w:p>
        </w:tc>
        <w:tc>
          <w:tcPr>
            <w:tcW w:w="246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vMerge w:val="restart"/>
          </w:tcPr>
          <w:p>
            <w:pPr>
              <w:ind w:left="60"/>
              <w:spacing w:after="0" w:line="162" w:lineRule="exact"/>
              <w:rPr>
                <w:sz w:val="20"/>
                <w:szCs w:val="20"/>
                <w:color w:val="auto"/>
              </w:rPr>
            </w:pPr>
            <w:r>
              <w:rPr>
                <w:rFonts w:ascii="Times New Roman" w:cs="Times New Roman" w:eastAsia="Times New Roman" w:hAnsi="Times New Roman"/>
                <w:sz w:val="16"/>
                <w:szCs w:val="16"/>
                <w:b w:val="1"/>
                <w:bCs w:val="1"/>
                <w:color w:val="auto"/>
              </w:rPr>
              <w:t>Unrecognized</w:t>
            </w:r>
          </w:p>
        </w:tc>
        <w:tc>
          <w:tcPr>
            <w:tcW w:w="0" w:type="dxa"/>
            <w:vAlign w:val="bottom"/>
          </w:tcPr>
          <w:p>
            <w:pPr>
              <w:spacing w:after="0"/>
              <w:rPr>
                <w:sz w:val="1"/>
                <w:szCs w:val="1"/>
                <w:color w:val="auto"/>
              </w:rPr>
            </w:pPr>
          </w:p>
        </w:tc>
      </w:tr>
      <w:tr>
        <w:trPr>
          <w:trHeight w:val="68"/>
        </w:trPr>
        <w:tc>
          <w:tcPr>
            <w:tcW w:w="320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960" w:type="dxa"/>
            <w:vAlign w:val="bottom"/>
            <w:gridSpan w:val="3"/>
            <w:vMerge w:val="restart"/>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340" w:type="dxa"/>
            <w:vAlign w:val="bottom"/>
            <w:gridSpan w:val="4"/>
            <w:vMerge w:val="restart"/>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30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6"/>
                <w:szCs w:val="16"/>
                <w:b w:val="1"/>
                <w:bCs w:val="1"/>
                <w:color w:val="auto"/>
              </w:rPr>
              <w:t>Outstanding as</w:t>
            </w:r>
          </w:p>
        </w:tc>
        <w:tc>
          <w:tcPr>
            <w:tcW w:w="16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3"/>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0" w:type="dxa"/>
            <w:vAlign w:val="bottom"/>
          </w:tcPr>
          <w:p>
            <w:pPr>
              <w:spacing w:after="0"/>
              <w:rPr>
                <w:sz w:val="1"/>
                <w:szCs w:val="1"/>
                <w:color w:val="auto"/>
              </w:rPr>
            </w:pPr>
          </w:p>
        </w:tc>
      </w:tr>
      <w:tr>
        <w:trPr>
          <w:trHeight w:val="155"/>
        </w:trPr>
        <w:tc>
          <w:tcPr>
            <w:tcW w:w="3200" w:type="dxa"/>
            <w:vAlign w:val="bottom"/>
          </w:tcPr>
          <w:p>
            <w:pPr>
              <w:spacing w:after="0"/>
              <w:rPr>
                <w:sz w:val="13"/>
                <w:szCs w:val="13"/>
                <w:color w:val="auto"/>
              </w:rPr>
            </w:pPr>
          </w:p>
        </w:tc>
        <w:tc>
          <w:tcPr>
            <w:tcW w:w="130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rPr>
              <w:t>of September 30,</w:t>
            </w:r>
          </w:p>
        </w:tc>
        <w:tc>
          <w:tcPr>
            <w:tcW w:w="1340" w:type="dxa"/>
            <w:vAlign w:val="bottom"/>
            <w:gridSpan w:val="3"/>
          </w:tcPr>
          <w:p>
            <w:pPr>
              <w:ind w:left="100"/>
              <w:spacing w:after="0" w:line="15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80" w:type="dxa"/>
            <w:vAlign w:val="bottom"/>
            <w:gridSpan w:val="3"/>
          </w:tcPr>
          <w:p>
            <w:pPr>
              <w:ind w:left="100"/>
              <w:spacing w:after="0" w:line="15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320" w:type="dxa"/>
            <w:vAlign w:val="bottom"/>
            <w:gridSpan w:val="3"/>
          </w:tcPr>
          <w:p>
            <w:pPr>
              <w:ind w:left="80"/>
              <w:spacing w:after="0" w:line="15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40" w:type="dxa"/>
            <w:vAlign w:val="bottom"/>
            <w:gridSpan w:val="3"/>
          </w:tcPr>
          <w:p>
            <w:pPr>
              <w:ind w:left="80"/>
              <w:spacing w:after="0" w:line="155"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3"/>
                <w:szCs w:val="13"/>
                <w:color w:val="auto"/>
              </w:rPr>
            </w:pPr>
          </w:p>
        </w:tc>
        <w:tc>
          <w:tcPr>
            <w:tcW w:w="1260" w:type="dxa"/>
            <w:vAlign w:val="bottom"/>
          </w:tcPr>
          <w:p>
            <w:pPr>
              <w:ind w:left="80"/>
              <w:spacing w:after="0" w:line="155" w:lineRule="exact"/>
              <w:rPr>
                <w:sz w:val="20"/>
                <w:szCs w:val="20"/>
                <w:color w:val="auto"/>
              </w:rPr>
            </w:pPr>
            <w:r>
              <w:rPr>
                <w:rFonts w:ascii="Times New Roman" w:cs="Times New Roman" w:eastAsia="Times New Roman" w:hAnsi="Times New Roman"/>
                <w:sz w:val="16"/>
                <w:szCs w:val="16"/>
                <w:b w:val="1"/>
                <w:bCs w:val="1"/>
                <w:color w:val="auto"/>
              </w:rPr>
              <w:t>Expense as of</w:t>
            </w:r>
          </w:p>
        </w:tc>
        <w:tc>
          <w:tcPr>
            <w:tcW w:w="0" w:type="dxa"/>
            <w:vAlign w:val="bottom"/>
          </w:tcPr>
          <w:p>
            <w:pPr>
              <w:spacing w:after="0"/>
              <w:rPr>
                <w:sz w:val="1"/>
                <w:szCs w:val="1"/>
                <w:color w:val="auto"/>
              </w:rPr>
            </w:pPr>
          </w:p>
        </w:tc>
      </w:tr>
      <w:tr>
        <w:trPr>
          <w:trHeight w:val="214"/>
        </w:trPr>
        <w:tc>
          <w:tcPr>
            <w:tcW w:w="32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0" w:type="dxa"/>
            <w:vAlign w:val="bottom"/>
          </w:tcPr>
          <w:p>
            <w:pPr>
              <w:spacing w:after="0"/>
              <w:rPr>
                <w:sz w:val="1"/>
                <w:szCs w:val="1"/>
                <w:color w:val="auto"/>
              </w:rPr>
            </w:pPr>
          </w:p>
        </w:tc>
      </w:tr>
      <w:tr>
        <w:trPr>
          <w:trHeight w:val="238"/>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TPH and RPH Units</w:t>
            </w: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TPH 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40" w:type="dxa"/>
            <w:vAlign w:val="bottom"/>
          </w:tcPr>
          <w:p>
            <w:pPr>
              <w:spacing w:after="0"/>
              <w:rPr>
                <w:sz w:val="22"/>
                <w:szCs w:val="22"/>
                <w:color w:val="auto"/>
              </w:rPr>
            </w:pPr>
          </w:p>
        </w:tc>
        <w:tc>
          <w:tcPr>
            <w:tcW w:w="780" w:type="dxa"/>
            <w:vAlign w:val="bottom"/>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60" w:type="dxa"/>
            <w:vAlign w:val="bottom"/>
          </w:tcPr>
          <w:p>
            <w:pPr>
              <w:spacing w:after="0"/>
              <w:rPr>
                <w:sz w:val="22"/>
                <w:szCs w:val="22"/>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8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RPH units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TPH and RPH Units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40" w:type="dxa"/>
            <w:vAlign w:val="bottom"/>
          </w:tcPr>
          <w:p>
            <w:pPr>
              <w:spacing w:after="0"/>
              <w:rPr>
                <w:sz w:val="19"/>
                <w:szCs w:val="19"/>
                <w:color w:val="auto"/>
              </w:rPr>
            </w:pPr>
          </w:p>
        </w:tc>
        <w:tc>
          <w:tcPr>
            <w:tcW w:w="7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Acquisition-Related Common Units and</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Common Units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w:t>
            </w:r>
          </w:p>
        </w:tc>
        <w:tc>
          <w:tcPr>
            <w:tcW w:w="0" w:type="dxa"/>
            <w:vAlign w:val="bottom"/>
          </w:tcPr>
          <w:p>
            <w:pPr>
              <w:spacing w:after="0"/>
              <w:rPr>
                <w:sz w:val="1"/>
                <w:szCs w:val="1"/>
                <w:color w:val="auto"/>
              </w:rPr>
            </w:pPr>
          </w:p>
        </w:tc>
      </w:tr>
      <w:tr>
        <w:trPr>
          <w:trHeight w:val="256"/>
        </w:trPr>
        <w:tc>
          <w:tcPr>
            <w:tcW w:w="3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A Common Stock</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2"/>
                <w:szCs w:val="22"/>
                <w:color w:val="auto"/>
              </w:rPr>
            </w:pPr>
          </w:p>
        </w:tc>
        <w:tc>
          <w:tcPr>
            <w:tcW w:w="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4"/>
        </w:trPr>
        <w:tc>
          <w:tcPr>
            <w:tcW w:w="3200" w:type="dxa"/>
            <w:vAlign w:val="bottom"/>
            <w:tcBorders>
              <w:top w:val="single" w:sz="8" w:color="CCEEFF"/>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Total Acquisition-Related Common</w:t>
            </w: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Units and Class A Common Stock</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TPH and RPH Units</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accounts for the TPH Units and RPH Units as compensation expense in accordance with ASC 718. The unvested TPH and RPH Units are recognized as equity-based compensation subject to primarily service vesting conditions and in certain cases performance conditions, some of which are deemed probable of achieving. The Company recognized compensation expense of $52.8 million and $176.7 million for the three and nine months ended September 30, 2026, respectively. The Company recognized compensation expense of $84.2 million and $212.4 million for the three and nine months ended September 30, 2025, respectively. There is no additional dilution to our stockholders related to these interests. Contractually these units are only related to non-controlling interest holders of the TPG Operating Group, and there is no impact to the allocation of income and distributions to TPG Inc. Therefore, the Company has allocated these expense amounts to its non-controlling interest holders.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roll forwards of the Company’s unvested TPH Units and RPH Units for the nine months ended September 30, 2026 (units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3320" w:type="dxa"/>
            <w:vAlign w:val="bottom"/>
            <w:gridSpan w:val="5"/>
          </w:tcPr>
          <w:p>
            <w:pPr>
              <w:ind w:left="1240"/>
              <w:spacing w:after="0"/>
              <w:rPr>
                <w:sz w:val="20"/>
                <w:szCs w:val="20"/>
                <w:color w:val="auto"/>
              </w:rPr>
            </w:pPr>
            <w:r>
              <w:rPr>
                <w:rFonts w:ascii="Times New Roman" w:cs="Times New Roman" w:eastAsia="Times New Roman" w:hAnsi="Times New Roman"/>
                <w:sz w:val="16"/>
                <w:szCs w:val="16"/>
                <w:b w:val="1"/>
                <w:bCs w:val="1"/>
                <w:color w:val="auto"/>
              </w:rPr>
              <w:t>TPH Units</w:t>
            </w:r>
          </w:p>
        </w:tc>
        <w:tc>
          <w:tcPr>
            <w:tcW w:w="3220" w:type="dxa"/>
            <w:vAlign w:val="bottom"/>
            <w:gridSpan w:val="4"/>
          </w:tcPr>
          <w:p>
            <w:pPr>
              <w:jc w:val="right"/>
              <w:ind w:right="1152"/>
              <w:spacing w:after="0"/>
              <w:rPr>
                <w:sz w:val="20"/>
                <w:szCs w:val="20"/>
                <w:color w:val="auto"/>
              </w:rPr>
            </w:pPr>
            <w:r>
              <w:rPr>
                <w:rFonts w:ascii="Times New Roman" w:cs="Times New Roman" w:eastAsia="Times New Roman" w:hAnsi="Times New Roman"/>
                <w:sz w:val="16"/>
                <w:szCs w:val="16"/>
                <w:b w:val="1"/>
                <w:bCs w:val="1"/>
                <w:color w:val="auto"/>
              </w:rPr>
              <w:t>RPH Units</w:t>
            </w:r>
          </w:p>
        </w:tc>
        <w:tc>
          <w:tcPr>
            <w:tcW w:w="0" w:type="dxa"/>
            <w:vAlign w:val="bottom"/>
          </w:tcPr>
          <w:p>
            <w:pPr>
              <w:spacing w:after="0"/>
              <w:rPr>
                <w:sz w:val="1"/>
                <w:szCs w:val="1"/>
                <w:color w:val="auto"/>
              </w:rPr>
            </w:pPr>
          </w:p>
        </w:tc>
      </w:tr>
      <w:tr>
        <w:trPr>
          <w:trHeight w:val="158"/>
        </w:trPr>
        <w:tc>
          <w:tcPr>
            <w:tcW w:w="4700" w:type="dxa"/>
            <w:vAlign w:val="bottom"/>
          </w:tcPr>
          <w:p>
            <w:pPr>
              <w:spacing w:after="0"/>
              <w:rPr>
                <w:sz w:val="13"/>
                <w:szCs w:val="13"/>
                <w:color w:val="auto"/>
              </w:rPr>
            </w:pPr>
          </w:p>
        </w:tc>
        <w:tc>
          <w:tcPr>
            <w:tcW w:w="1580" w:type="dxa"/>
            <w:vAlign w:val="bottom"/>
            <w:tcBorders>
              <w:top w:val="single" w:sz="8" w:color="auto"/>
            </w:tcBorders>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Partnership Units</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center"/>
              <w:ind w:right="72"/>
              <w:spacing w:after="0" w:line="158"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100" w:type="dxa"/>
            <w:vAlign w:val="bottom"/>
          </w:tcPr>
          <w:p>
            <w:pPr>
              <w:spacing w:after="0"/>
              <w:rPr>
                <w:sz w:val="13"/>
                <w:szCs w:val="13"/>
                <w:color w:val="auto"/>
              </w:rPr>
            </w:pPr>
          </w:p>
        </w:tc>
        <w:tc>
          <w:tcPr>
            <w:tcW w:w="1560" w:type="dxa"/>
            <w:vAlign w:val="bottom"/>
            <w:tcBorders>
              <w:top w:val="single" w:sz="8" w:color="auto"/>
            </w:tcBorders>
            <w:vMerge w:val="restart"/>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Partnership Units</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132"/>
              <w:spacing w:after="0" w:line="158"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0" w:type="dxa"/>
            <w:vAlign w:val="bottom"/>
          </w:tcPr>
          <w:p>
            <w:pPr>
              <w:spacing w:after="0"/>
              <w:rPr>
                <w:sz w:val="1"/>
                <w:szCs w:val="1"/>
                <w:color w:val="auto"/>
              </w:rPr>
            </w:pPr>
          </w:p>
        </w:tc>
      </w:tr>
      <w:tr>
        <w:trPr>
          <w:trHeight w:val="214"/>
        </w:trPr>
        <w:tc>
          <w:tcPr>
            <w:tcW w:w="470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25"/>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457.10</w:t>
            </w:r>
          </w:p>
        </w:tc>
        <w:tc>
          <w:tcPr>
            <w:tcW w:w="0" w:type="dxa"/>
            <w:vAlign w:val="bottom"/>
          </w:tcPr>
          <w:p>
            <w:pPr>
              <w:spacing w:after="0"/>
              <w:rPr>
                <w:sz w:val="1"/>
                <w:szCs w:val="1"/>
                <w:color w:val="auto"/>
              </w:rPr>
            </w:pPr>
          </w:p>
        </w:tc>
      </w:tr>
      <w:tr>
        <w:trPr>
          <w:trHeight w:val="257"/>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Reallocated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0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457.10</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Certain forfeited TPH Units were reallocated to certain existing unit holders in accordance with the applicable governing documents. The grant date fair value of the reallocated awards was determined based on the fair value of TPG’s common stock at the time of reallocation. As of September 30, 2026, there was approximately $272.0 million of total estimated unrecognized compensation expense related to outstanding unvested awards, of which TPH Units and RPH Units represented $250.4 million and $21.6 million, respectively.</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Acquisition-Related Common Units and Class A Common Stock</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accordance with ASC 718, all Other Awards are also recognized as equity-based compensation. The Company recognized compensation expense of $65.7 million and $216.3 million for the three and nine months ended September 30, 2026, respectively. The expense for the three and nine months ended September 30, 2025 totaled $64.3 million and $164.7 million, respectively. As TPG Operating Group holders would accrete pro-rata or benefit directly upon forfeiture of those awards, this compensation expense was allocated pro-rata to all controlling and non-controlling interest holders of TPG Inc.</w:t>
      </w:r>
    </w:p>
    <w:p>
      <w:pPr>
        <w:spacing w:after="0" w:line="18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roll forwards of the Company’s unvested TOG Units and Class A Common Stock Awards for the nine months ended September 30, 2026 (awards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4200" w:type="dxa"/>
            <w:vAlign w:val="bottom"/>
            <w:tcBorders>
              <w:bottom w:val="single" w:sz="8" w:color="auto"/>
            </w:tcBorders>
            <w:gridSpan w:val="5"/>
          </w:tcPr>
          <w:p>
            <w:pPr>
              <w:jc w:val="right"/>
              <w:ind w:right="1491"/>
              <w:spacing w:after="0"/>
              <w:rPr>
                <w:sz w:val="20"/>
                <w:szCs w:val="20"/>
                <w:color w:val="auto"/>
              </w:rPr>
            </w:pPr>
            <w:r>
              <w:rPr>
                <w:rFonts w:ascii="Times New Roman" w:cs="Times New Roman" w:eastAsia="Times New Roman" w:hAnsi="Times New Roman"/>
                <w:sz w:val="16"/>
                <w:szCs w:val="16"/>
                <w:b w:val="1"/>
                <w:bCs w:val="1"/>
                <w:color w:val="auto"/>
              </w:rPr>
              <w:t>Common Units</w:t>
            </w:r>
          </w:p>
        </w:tc>
      </w:tr>
      <w:tr>
        <w:trPr>
          <w:trHeight w:val="211"/>
        </w:trPr>
        <w:tc>
          <w:tcPr>
            <w:tcW w:w="704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Partnership Units</w:t>
            </w: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6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w:t>
            </w:r>
          </w:p>
        </w:tc>
      </w:tr>
      <w:tr>
        <w:trPr>
          <w:trHeight w:val="230"/>
        </w:trPr>
        <w:tc>
          <w:tcPr>
            <w:tcW w:w="8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Reallocated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r>
      <w:tr>
        <w:trPr>
          <w:trHeight w:val="229"/>
        </w:trPr>
        <w:tc>
          <w:tcPr>
            <w:tcW w:w="8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w:t>
            </w:r>
          </w:p>
        </w:tc>
      </w:tr>
      <w:tr>
        <w:trPr>
          <w:trHeight w:val="230"/>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r>
      <w:tr>
        <w:trPr>
          <w:trHeight w:val="223"/>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w:t>
            </w:r>
          </w:p>
        </w:tc>
      </w:tr>
      <w:tr>
        <w:trPr>
          <w:trHeight w:val="21"/>
        </w:trPr>
        <w:tc>
          <w:tcPr>
            <w:tcW w:w="704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unrecognized compensation expense related to outstanding unvested awards as of September 30, 2026 was $583.2 million.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Other Liability Classified Awards</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discussed in Note 3, the Company granted Common Unit awards to certain Peppertree Parties in conjunction with the acquisition of Peppertree, which are considered liability-classified awards under ASC 718. The awards require both continuous service over an estimated period of five years and satisfaction of certain fee-related revenue targets during the period beginning on January 1, 2028 and ending on December 31, 2028 and certain fundraising targets. These liability-classified awards will be settled with a variable number of both vested and unvested Common Units upon the satisfaction of the fee-related revenue and fundraising targets and do not participate in TPG Operating Group distributions before settlement. During the third quarter of 2026, the Company revised its estimate and recognized compensation expense of $7.8 million and $31.1 million, for the three and nine months ended September 30, 2026 respectively, related to these liability-classified awards with a corresponding increase in other liabilities.</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conjunction with the acquisition of Angelo Gordon, the Company granted liability-classified Common Unit awards to Angelo Gordon partners. Those awards represent the compensatory portion of the Earnout Payment under ASC 718 and as such, require both continuous service over a period of five years and the satisfaction of fee-related revenue targets during the period beginning on January 1, 2026 and ending on December 31, 2026. These liability-classified awards will be settled with a variable number of both vested and unvested Common Units upon the satisfaction of the fee-related revenue targets and do not participate in TPG Operating Group distributions before settlement. During 2025, the Company determined that it is not probable the Company will need to settle the Earnout Payment. Accordingly, the Company has not recognized any compensation expense related to these liability-classified awards since it was determined it was not probable the performance condition will be achieved. For the three and nine months ended September 30, 2025, the Company recognized compensation expense of $9.9 million and $19.7 million, respectively, related to its liability-classified awards with a corresponding increase in other liabilities.</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liability-classified awards discussed above will be remeasured every reporting period and are based on the satisfaction of the respective fee-related revenue and fundraising targets, if applicable. Compensation expense for these awards is recognized using the accelerated attribution method on a tranche-by-tranche basis. Total unrecognized compensation expense related to these awards as of September 30, 2026 was $55.9 million.</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TRTX Awards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employees of the Company receive awards (“TRTX Awards”) from TPG RE Finance Trust, Inc. (“TRTX”), a publicly traded real estate investment trust, externally managed and advised by TPG RE Finance Trust Management, L.P., a wholly-owned subsidiary of the Company, for services provided to TRTX. Generally, the TRTX Awards vest over four years for employees and at grant date for directors of TRTX.</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TRTX Awards granted to certain employees of the Company are recorded in other assets and due to affiliates in the Condensed Consolidated Statements of Financial Condition. The grant date fair value of the asset is amortized on a straight-line basis over the vesting period as equity-based compensation expense. During the three and nine months ended September 30, 2026, the Company recognized a reduction of equity-based compensation expense of $1.8 million and equity-based compensation expense of $1.5 million, respectively, in the Condensed Consolidated Statements of Operations. During the three and nine months ended September 30, 2025, the Company recognized $2.6 million and $5.5 million, respectively, of equity-based compensation expense in the Condensed Consolidated Statements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Equity</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has three classes of common stock outstanding, Class A common stock, nonvoting Class A common stock and Class B common stock. Class A common stock is traded on the Nasdaq Global Select Market. The Company is authorized to issue 2,240,000,000 shares of Class A common stock with a par value of $0.001 per share, 100,000,000 shares of nonvoting Class A common stock, 750,000,000 shares of Class B common stock with a par value of $0.001 per share, and 25,000,000 shares of preferred stock with a par value of $0.001 per share. Each share of the Company’s Class A common stock entitles its holder to one vote, and each share of our Class B common stock entitles its holder to ten votes. Holders of Class A common stock and Class B common stock generally vote together as a single class on all matters presented to the Company’s stockholders for their vote or approval. The nonvoting Class A common stock has the same rights and privileges as, rank equally and share ratably with, and are identical in all respects as to all matters to, the Class A common stock, except that the nonvoting Class A common stock has no voting rights other than such rights as may be required by law. Holders of Class A common stock are entitled to receive dividends when and if declared by the board of directors. Holders of the Class B common stock are not entitled to dividends in respect of their shares of Class B common stock. As of September 30, 2026, 167,093,305 shares of Class A common stock and 6,605,963 shares of nonvoting Class A common stock were outstanding, 210,848,910 shares of Class B common stock were outstanding, and there were no shares of preferred stock outstanding.</w:t>
      </w:r>
    </w:p>
    <w:p>
      <w:pPr>
        <w:spacing w:after="0" w:line="19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connection with the Transaction described in Note 4, the Company issued 2,279,109 shares of Class A common stock to a subsidiary of Jackson. The Company determined that the Class A shares issued were not in exchange for a distinct good or service and therefore determined that the shares issued to the customer represent a reduction of transaction price associated with the investment management agreement. Accordingly, the Company recognized the issuance of the Class A shares within other assets on the Company’s Condensed Consolidated Statements of Financial Condition which will be amortized as a reduction of fees and other in the Company’s Condensed Consolidated Statements of Operations.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distributions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Dividends and distributions are reflected in the Condensed Consolidated Statements of Changes in Equity when declared by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are made to Class A common stockholders and distributions are made to holders of non-controlling interests in subsidiaries.</w:t>
      </w:r>
    </w:p>
    <w:p>
      <w:pPr>
        <w:spacing w:after="0" w:line="20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table below presents information regarding the quarterly dividends on the Class A common stock, which were made at the sole discretion of the Board of Directors of the Company.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Date Declared</w:t>
            </w:r>
          </w:p>
        </w:tc>
        <w:tc>
          <w:tcPr>
            <w:tcW w:w="2260" w:type="dxa"/>
            <w:vAlign w:val="bottom"/>
          </w:tcPr>
          <w:p>
            <w:pPr>
              <w:ind w:left="94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Dividend per Class A Common Share</w:t>
            </w:r>
          </w:p>
        </w:tc>
        <w:tc>
          <w:tcPr>
            <w:tcW w:w="0" w:type="dxa"/>
            <w:vAlign w:val="bottom"/>
          </w:tcPr>
          <w:p>
            <w:pPr>
              <w:spacing w:after="0"/>
              <w:rPr>
                <w:sz w:val="1"/>
                <w:szCs w:val="1"/>
                <w:color w:val="auto"/>
              </w:rPr>
            </w:pPr>
          </w:p>
        </w:tc>
      </w:tr>
      <w:tr>
        <w:trPr>
          <w:trHeight w:val="226"/>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7, 2025</w:t>
            </w:r>
          </w:p>
        </w:tc>
        <w:tc>
          <w:tcPr>
            <w:tcW w:w="8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19, 2025</w:t>
            </w:r>
          </w:p>
        </w:tc>
        <w:tc>
          <w:tcPr>
            <w:tcW w:w="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 2025</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29"/>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6, 2025</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18, 2025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 2025</w:t>
            </w:r>
          </w:p>
        </w:tc>
        <w:tc>
          <w:tcPr>
            <w:tcW w:w="1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4, 2025</w:t>
            </w:r>
          </w:p>
        </w:tc>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14, 2025</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2025</w:t>
            </w:r>
          </w:p>
        </w:tc>
        <w:tc>
          <w:tcPr>
            <w:tcW w:w="1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February 5, 2026</w:t>
            </w:r>
          </w:p>
        </w:tc>
        <w:tc>
          <w:tcPr>
            <w:tcW w:w="2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February 19, 2026</w:t>
            </w: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March 5, 2026</w:t>
            </w:r>
          </w:p>
        </w:tc>
        <w:tc>
          <w:tcPr>
            <w:tcW w:w="1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155"/>
        </w:trPr>
        <w:tc>
          <w:tcPr>
            <w:tcW w:w="2820" w:type="dxa"/>
            <w:vAlign w:val="bottom"/>
            <w:gridSpan w:val="2"/>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b w:val="1"/>
                <w:bCs w:val="1"/>
                <w:color w:val="auto"/>
              </w:rPr>
              <w:t>Total 2025 Dividend Year</w:t>
            </w:r>
          </w:p>
        </w:tc>
        <w:tc>
          <w:tcPr>
            <w:tcW w:w="2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6"/>
        </w:trPr>
        <w:tc>
          <w:tcPr>
            <w:tcW w:w="2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(through Q4 2025)</w:t>
            </w:r>
          </w:p>
        </w:tc>
        <w:tc>
          <w:tcPr>
            <w:tcW w:w="22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5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 2026</w:t>
            </w:r>
          </w:p>
        </w:tc>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11, 2026</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26, 2026</w:t>
            </w:r>
          </w:p>
        </w:tc>
        <w:tc>
          <w:tcPr>
            <w:tcW w:w="1240" w:type="dxa"/>
            <w:vAlign w:val="bottom"/>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29"/>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4, 2026</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14, 2026</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28, 2026</w:t>
            </w:r>
          </w:p>
        </w:tc>
        <w:tc>
          <w:tcPr>
            <w:tcW w:w="1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29, 2026</w:t>
            </w:r>
          </w:p>
        </w:tc>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9, 2026</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23, 2026</w:t>
            </w:r>
          </w:p>
        </w:tc>
        <w:tc>
          <w:tcPr>
            <w:tcW w:w="1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155"/>
        </w:trPr>
        <w:tc>
          <w:tcPr>
            <w:tcW w:w="2820" w:type="dxa"/>
            <w:vAlign w:val="bottom"/>
            <w:gridSpan w:val="2"/>
          </w:tcPr>
          <w:p>
            <w:pPr>
              <w:ind w:left="140"/>
              <w:spacing w:after="0" w:line="156" w:lineRule="exact"/>
              <w:rPr>
                <w:sz w:val="20"/>
                <w:szCs w:val="20"/>
                <w:color w:val="auto"/>
              </w:rPr>
            </w:pPr>
            <w:r>
              <w:rPr>
                <w:rFonts w:ascii="Times New Roman" w:cs="Times New Roman" w:eastAsia="Times New Roman" w:hAnsi="Times New Roman"/>
                <w:sz w:val="18"/>
                <w:szCs w:val="18"/>
                <w:b w:val="1"/>
                <w:bCs w:val="1"/>
                <w:color w:val="auto"/>
              </w:rPr>
              <w:t>Total 2026 Dividend Year</w:t>
            </w:r>
          </w:p>
        </w:tc>
        <w:tc>
          <w:tcPr>
            <w:tcW w:w="2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jc w:val="right"/>
              <w:ind w:right="105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1"/>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(through Q3 2026)</w:t>
            </w:r>
          </w:p>
        </w:tc>
        <w:tc>
          <w:tcPr>
            <w:tcW w:w="2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320" w:type="dxa"/>
            <w:vAlign w:val="bottom"/>
            <w:gridSpan w:val="3"/>
            <w:vMerge w:val="restart"/>
          </w:tcPr>
          <w:p>
            <w:pPr>
              <w:jc w:val="right"/>
              <w:ind w:right="259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3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Exchanges of Common Units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Pursuant to the Exchange Agreement, certain holders of Common Units, including certain partners and employees, are authorized to exchange Common Units for an equal number of shares of Class A common stock. During the years ended December 31, 2025 and 2024, certain holders of Common Units exchanged Common Units for an equal number of shares of Class A common stock resulting in the issuance of shares of Class A common stock and the cancellation of an equal number of shares of Class B common stock for no additional consideration. Such issuances of shares of Class A common stock to such holders of Common Units were registered pursuant to the Company’s registration statements on Form S-3 filed on November 2, 2023 and September 13, 2024. For the periods ended September 30, 2026 and December 31, 2025, the following Common Units were exchanged for Class A common stock:</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60" w:type="dxa"/>
            <w:vAlign w:val="bottom"/>
            <w:gridSpan w:val="2"/>
          </w:tcPr>
          <w:p>
            <w:pPr>
              <w:ind w:left="3660"/>
              <w:spacing w:after="0"/>
              <w:rPr>
                <w:sz w:val="20"/>
                <w:szCs w:val="20"/>
                <w:color w:val="auto"/>
              </w:rPr>
            </w:pPr>
            <w:r>
              <w:rPr>
                <w:rFonts w:ascii="Times New Roman" w:cs="Times New Roman" w:eastAsia="Times New Roman" w:hAnsi="Times New Roman"/>
                <w:sz w:val="16"/>
                <w:szCs w:val="16"/>
                <w:b w:val="1"/>
                <w:bCs w:val="1"/>
                <w:color w:val="auto"/>
              </w:rPr>
              <w:t>Exchange Date</w:t>
            </w:r>
          </w:p>
        </w:tc>
        <w:tc>
          <w:tcPr>
            <w:tcW w:w="278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Class A Common Stock Issued</w:t>
            </w:r>
          </w:p>
        </w:tc>
      </w:tr>
      <w:tr>
        <w:trPr>
          <w:trHeight w:val="226"/>
        </w:trPr>
        <w:tc>
          <w:tcPr>
            <w:tcW w:w="8360" w:type="dxa"/>
            <w:vAlign w:val="bottom"/>
            <w:tcBorders>
              <w:top w:val="single" w:sz="8" w:color="auto"/>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b w:val="1"/>
                <w:bCs w:val="1"/>
                <w:color w:val="auto"/>
              </w:rPr>
              <w:t>2025 Exchanges</w:t>
            </w:r>
            <w:r>
              <w:rPr>
                <w:rFonts w:ascii="Times New Roman" w:cs="Times New Roman" w:eastAsia="Times New Roman" w:hAnsi="Times New Roman"/>
                <w:sz w:val="23"/>
                <w:szCs w:val="23"/>
                <w:b w:val="1"/>
                <w:bCs w:val="1"/>
                <w:color w:val="auto"/>
                <w:vertAlign w:val="superscript"/>
              </w:rPr>
              <w:t>(a)</w:t>
            </w:r>
          </w:p>
        </w:tc>
        <w:tc>
          <w:tcPr>
            <w:tcW w:w="10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spacing w:after="0"/>
              <w:rPr>
                <w:sz w:val="19"/>
                <w:szCs w:val="19"/>
                <w:color w:val="auto"/>
              </w:rPr>
            </w:pPr>
          </w:p>
        </w:tc>
      </w:tr>
      <w:tr>
        <w:trPr>
          <w:trHeight w:val="229"/>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February 24, 2025</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9,786,354</w:t>
            </w:r>
          </w:p>
        </w:tc>
      </w:tr>
      <w:tr>
        <w:trPr>
          <w:trHeight w:val="229"/>
        </w:trPr>
        <w:tc>
          <w:tcPr>
            <w:tcW w:w="8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May 21, 2025</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21,000,000</w:t>
            </w:r>
          </w:p>
        </w:tc>
      </w:tr>
      <w:tr>
        <w:trPr>
          <w:trHeight w:val="230"/>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August 19, 2025</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5,153,040</w:t>
            </w:r>
          </w:p>
        </w:tc>
      </w:tr>
      <w:tr>
        <w:trPr>
          <w:trHeight w:val="257"/>
        </w:trPr>
        <w:tc>
          <w:tcPr>
            <w:tcW w:w="8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780" w:type="dxa"/>
            <w:vAlign w:val="bottom"/>
            <w:shd w:val="clear" w:color="auto" w:fill="CCEEFF"/>
          </w:tcPr>
          <w:p>
            <w:pPr>
              <w:spacing w:after="0"/>
              <w:rPr>
                <w:sz w:val="22"/>
                <w:szCs w:val="22"/>
                <w:color w:val="auto"/>
              </w:rPr>
            </w:pPr>
          </w:p>
        </w:tc>
      </w:tr>
      <w:tr>
        <w:trPr>
          <w:trHeight w:val="229"/>
        </w:trPr>
        <w:tc>
          <w:tcPr>
            <w:tcW w:w="84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2026 Exchange</w:t>
            </w:r>
            <w:r>
              <w:rPr>
                <w:rFonts w:ascii="Times New Roman" w:cs="Times New Roman" w:eastAsia="Times New Roman" w:hAnsi="Times New Roman"/>
                <w:sz w:val="23"/>
                <w:szCs w:val="23"/>
                <w:b w:val="1"/>
                <w:bCs w:val="1"/>
                <w:color w:val="auto"/>
                <w:vertAlign w:val="superscript"/>
              </w:rPr>
              <w:t>(a)</w:t>
            </w:r>
          </w:p>
        </w:tc>
        <w:tc>
          <w:tcPr>
            <w:tcW w:w="2780" w:type="dxa"/>
            <w:vAlign w:val="bottom"/>
          </w:tcPr>
          <w:p>
            <w:pPr>
              <w:spacing w:after="0"/>
              <w:rPr>
                <w:sz w:val="19"/>
                <w:szCs w:val="19"/>
                <w:color w:val="auto"/>
              </w:rPr>
            </w:pPr>
          </w:p>
        </w:tc>
      </w:tr>
      <w:tr>
        <w:trPr>
          <w:trHeight w:val="229"/>
        </w:trPr>
        <w:tc>
          <w:tcPr>
            <w:tcW w:w="8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May 15, 2026</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6,042,619</w:t>
            </w:r>
          </w:p>
        </w:tc>
      </w:tr>
      <w:tr>
        <w:trPr>
          <w:trHeight w:val="234"/>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August 17, 2026</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6,960,798</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9" w:lineRule="exact"/>
        <w:rPr>
          <w:sz w:val="20"/>
          <w:szCs w:val="20"/>
          <w:color w:val="auto"/>
        </w:rPr>
      </w:pPr>
    </w:p>
    <w:p>
      <w:pPr>
        <w:ind w:left="500" w:right="20" w:hanging="492"/>
        <w:spacing w:after="0" w:line="282" w:lineRule="auto"/>
        <w:tabs>
          <w:tab w:leader="none" w:pos="497"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issuances of shares of Class A common stock to such holders of Common Units were registered pursuant to the Company’s registration statements on Form S-3 filed on November 2, 2023 and September 13, 2024.</w:t>
      </w:r>
    </w:p>
    <w:p>
      <w:pPr>
        <w:spacing w:after="0" w:line="180"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supplemental non-cash financing activities related to equity for the Condensed Consolidated Statements of Cash Flows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44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760" w:type="dxa"/>
            <w:vAlign w:val="bottom"/>
            <w:tcBorders>
              <w:bottom w:val="single" w:sz="8" w:color="auto"/>
            </w:tcBorders>
          </w:tcPr>
          <w:p>
            <w:pPr>
              <w:spacing w:after="0"/>
              <w:rPr>
                <w:sz w:val="18"/>
                <w:szCs w:val="18"/>
                <w:color w:val="auto"/>
              </w:rPr>
            </w:pPr>
          </w:p>
        </w:tc>
      </w:tr>
      <w:tr>
        <w:trPr>
          <w:trHeight w:val="211"/>
        </w:trPr>
        <w:tc>
          <w:tcPr>
            <w:tcW w:w="704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2026</w:t>
            </w: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8"/>
                <w:szCs w:val="18"/>
                <w:color w:val="auto"/>
              </w:rPr>
            </w:pP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holders of non-controlling interests</w:t>
            </w:r>
          </w:p>
        </w:tc>
        <w:tc>
          <w:tcPr>
            <w:tcW w:w="130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67,900</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179,033</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531,753</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affiliates</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108,514</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189,314</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286,755</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23,519</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55,684</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 from holders of other non-controlling interests</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85,299</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133,896</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in-kind to holders of other non-controlling interests</w:t>
            </w:r>
          </w:p>
        </w:tc>
        <w:tc>
          <w:tcPr>
            <w:tcW w:w="13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50,550</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Deconsolidation of previously consolidated entities</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804,839</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45,814</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in connection with Jackson Transaction</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113,203</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Other than the events noted in the footnotes to the Condensed Consolidated Financial Statements, there have been no additional events since September 30, 2026 that require recognition or disclosure in the Condensed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information presented in our historical financial statements and the related notes included elsewhere in this report. In addition to historical information, the following discussion contains forward-looking statements, such as statements regarding our expectation for future performance, liquidity and capital resources that involve risks, uncertainties and assumptions. Our actual results may differ materially from those contained in or implied by any forward-looking statements. Factors that could cause or contribute to these differences include those identified below and elsewhere in this report, particularly in “Cautionary Note Regarding Forward-Looking Statements,” and “Item 1A.—Risk Factors” and should be read in conjunction with our Annual Report on Form 10-K for the year ended December 31, 2025 filed with the SEC on February 17, 2026. We assume no obligation to update any of these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is a leading global alternative asset manager with $345.7 billion in assets under management (“AUM”) as of September 30, 2026. We have built our firm through years of successful innovation and growth, and believe that we have delivered attractive risk-adjusted returns to our clients and established a premier investment business focused on the fastest-growing segments of the alternative asset management industry. We believe our distinctive business approach and diversified array of innovative investment platforms position us well to continue generating highly profitable, sustainable growth.</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offer a broad range of investment strategies across the alternative asset management landscape, primarily in private equity, credit and real estate, and have constructed a high-quality base of assets under management within attractive sub-segments of these asset classes. The strength of our investment performance and our proven ability to innovate within our business, together with our ongoing focus on strategic, inorganic growth has led to consistent historical increases in our assets under management, supported by a scaled infrastructure that provides our business with a high degree of operating leverage.</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differentiated operating model unites our investment products and global footprint around a cohesive commercial framework. Our team-oriented culture fosters collaboration and alignment, supports our shared investment themes approach to sourcing and executing deals and leads to attractive returns for our investors. Through multiple decades of experience, we have developed an ecosystem of insight, engagement and collaboration across our platforms and products, which currently include more than 450 active portfolio companies, approximately 300 real estate properties and over 7,000 credit positions, across more than 33 countries.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firm consists of six multi-strategy investment platforms: (1) Capital, (2) Growth, (3) Impact, (4) Credit, (5) Real Estate and (6) Market Solutions. Each of our six investment platforms is comprised of a number of products that are complementary to each other and provide our clients with differentiated avenues for capital deployment. Most of our products have raised multiple generations of funds, which we believe highlights the value these products provide to our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1520" w:type="dxa"/>
            <w:vAlign w:val="bottom"/>
            <w:tcBorders>
              <w:left w:val="single" w:sz="8" w:color="093A5B"/>
            </w:tcBorders>
            <w:shd w:val="clear" w:color="auto" w:fill="093A5B"/>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Capital</w:t>
            </w:r>
          </w:p>
        </w:tc>
        <w:tc>
          <w:tcPr>
            <w:tcW w:w="1660" w:type="dxa"/>
            <w:vAlign w:val="bottom"/>
            <w:shd w:val="clear" w:color="auto" w:fill="093A5B"/>
          </w:tcPr>
          <w:p>
            <w:pPr>
              <w:jc w:val="center"/>
              <w:spacing w:after="0"/>
              <w:rPr>
                <w:sz w:val="20"/>
                <w:szCs w:val="20"/>
                <w:color w:val="auto"/>
              </w:rPr>
            </w:pPr>
            <w:r>
              <w:rPr>
                <w:rFonts w:ascii="Times New Roman" w:cs="Times New Roman" w:eastAsia="Times New Roman" w:hAnsi="Times New Roman"/>
                <w:sz w:val="16"/>
                <w:szCs w:val="16"/>
                <w:b w:val="1"/>
                <w:bCs w:val="1"/>
                <w:color w:val="FFFFFF"/>
              </w:rPr>
              <w:t>Growth</w:t>
            </w:r>
          </w:p>
        </w:tc>
        <w:tc>
          <w:tcPr>
            <w:tcW w:w="1420" w:type="dxa"/>
            <w:vAlign w:val="bottom"/>
            <w:shd w:val="clear" w:color="auto" w:fill="093A5B"/>
          </w:tcPr>
          <w:p>
            <w:pPr>
              <w:jc w:val="center"/>
              <w:spacing w:after="0"/>
              <w:rPr>
                <w:sz w:val="20"/>
                <w:szCs w:val="20"/>
                <w:color w:val="auto"/>
              </w:rPr>
            </w:pPr>
            <w:r>
              <w:rPr>
                <w:rFonts w:ascii="Times New Roman" w:cs="Times New Roman" w:eastAsia="Times New Roman" w:hAnsi="Times New Roman"/>
                <w:sz w:val="16"/>
                <w:szCs w:val="16"/>
                <w:b w:val="1"/>
                <w:bCs w:val="1"/>
                <w:color w:val="FFFFFF"/>
              </w:rPr>
              <w:t>Impact</w:t>
            </w:r>
          </w:p>
        </w:tc>
        <w:tc>
          <w:tcPr>
            <w:tcW w:w="1600" w:type="dxa"/>
            <w:vAlign w:val="bottom"/>
            <w:shd w:val="clear" w:color="auto" w:fill="093A5B"/>
          </w:tcPr>
          <w:p>
            <w:pPr>
              <w:jc w:val="center"/>
              <w:ind w:left="18"/>
              <w:spacing w:after="0"/>
              <w:rPr>
                <w:sz w:val="20"/>
                <w:szCs w:val="20"/>
                <w:color w:val="auto"/>
              </w:rPr>
            </w:pPr>
            <w:r>
              <w:rPr>
                <w:rFonts w:ascii="Times New Roman" w:cs="Times New Roman" w:eastAsia="Times New Roman" w:hAnsi="Times New Roman"/>
                <w:sz w:val="16"/>
                <w:szCs w:val="16"/>
                <w:b w:val="1"/>
                <w:bCs w:val="1"/>
                <w:color w:val="FFFFFF"/>
              </w:rPr>
              <w:t>Credit</w:t>
            </w:r>
          </w:p>
        </w:tc>
        <w:tc>
          <w:tcPr>
            <w:tcW w:w="1980" w:type="dxa"/>
            <w:vAlign w:val="bottom"/>
            <w:gridSpan w:val="2"/>
            <w:shd w:val="clear" w:color="auto" w:fill="093A5B"/>
          </w:tcPr>
          <w:p>
            <w:pPr>
              <w:jc w:val="center"/>
              <w:spacing w:after="0"/>
              <w:rPr>
                <w:sz w:val="20"/>
                <w:szCs w:val="20"/>
                <w:color w:val="auto"/>
              </w:rPr>
            </w:pPr>
            <w:r>
              <w:rPr>
                <w:rFonts w:ascii="Times New Roman" w:cs="Times New Roman" w:eastAsia="Times New Roman" w:hAnsi="Times New Roman"/>
                <w:sz w:val="16"/>
                <w:szCs w:val="16"/>
                <w:b w:val="1"/>
                <w:bCs w:val="1"/>
                <w:color w:val="FFFFFF"/>
              </w:rPr>
              <w:t>Real Estate</w:t>
            </w:r>
          </w:p>
        </w:tc>
        <w:tc>
          <w:tcPr>
            <w:tcW w:w="1520" w:type="dxa"/>
            <w:vAlign w:val="bottom"/>
            <w:shd w:val="clear" w:color="auto" w:fill="093A5B"/>
          </w:tcPr>
          <w:p>
            <w:pPr>
              <w:jc w:val="center"/>
              <w:spacing w:after="0"/>
              <w:rPr>
                <w:sz w:val="20"/>
                <w:szCs w:val="20"/>
                <w:color w:val="auto"/>
              </w:rPr>
            </w:pPr>
            <w:r>
              <w:rPr>
                <w:rFonts w:ascii="Times New Roman" w:cs="Times New Roman" w:eastAsia="Times New Roman" w:hAnsi="Times New Roman"/>
                <w:sz w:val="16"/>
                <w:szCs w:val="16"/>
                <w:b w:val="1"/>
                <w:bCs w:val="1"/>
                <w:color w:val="FFFFFF"/>
              </w:rPr>
              <w:t>Market Solutions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1540" w:type="dxa"/>
            <w:vAlign w:val="bottom"/>
            <w:shd w:val="clear" w:color="auto" w:fill="DBDBDB"/>
          </w:tcPr>
          <w:p>
            <w:pPr>
              <w:spacing w:after="0"/>
              <w:rPr>
                <w:sz w:val="24"/>
                <w:szCs w:val="24"/>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Focused on large</w:t>
            </w: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Flexible investing</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Leading global</w:t>
            </w:r>
          </w:p>
        </w:tc>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Platform focused 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40" w:type="dxa"/>
            <w:vAlign w:val="bottom"/>
            <w:shd w:val="clear" w:color="auto" w:fill="DBDBDB"/>
          </w:tcPr>
          <w:p>
            <w:pPr>
              <w:spacing w:after="0"/>
              <w:rPr>
                <w:sz w:val="14"/>
                <w:szCs w:val="14"/>
                <w:color w:val="auto"/>
              </w:rPr>
            </w:pPr>
          </w:p>
        </w:tc>
        <w:tc>
          <w:tcPr>
            <w:tcW w:w="152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impact investing</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Diversified solutions</w:t>
            </w: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540" w:type="dxa"/>
            <w:vAlign w:val="bottom"/>
            <w:shd w:val="clear" w:color="auto" w:fill="DBDBDB"/>
          </w:tcPr>
          <w:p>
            <w:pPr>
              <w:spacing w:after="0"/>
              <w:rPr>
                <w:sz w:val="7"/>
                <w:szCs w:val="7"/>
                <w:color w:val="auto"/>
              </w:rPr>
            </w:pPr>
          </w:p>
        </w:tc>
        <w:tc>
          <w:tcPr>
            <w:tcW w:w="152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scale, control / co-</w:t>
            </w:r>
          </w:p>
        </w:tc>
        <w:tc>
          <w:tcPr>
            <w:tcW w:w="166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platform focused on</w:t>
            </w:r>
          </w:p>
        </w:tc>
        <w:tc>
          <w:tcPr>
            <w:tcW w:w="142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platform pursuing</w:t>
            </w:r>
          </w:p>
        </w:tc>
        <w:tc>
          <w:tcPr>
            <w:tcW w:w="1600" w:type="dxa"/>
            <w:vAlign w:val="bottom"/>
            <w:vMerge w:val="continue"/>
          </w:tcPr>
          <w:p>
            <w:pPr>
              <w:spacing w:after="0"/>
              <w:rPr>
                <w:sz w:val="7"/>
                <w:szCs w:val="7"/>
                <w:color w:val="auto"/>
              </w:rPr>
            </w:pPr>
          </w:p>
        </w:tc>
        <w:tc>
          <w:tcPr>
            <w:tcW w:w="1980" w:type="dxa"/>
            <w:vAlign w:val="bottom"/>
            <w:gridSpan w:val="2"/>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Multi-product, diversified</w:t>
            </w:r>
          </w:p>
        </w:tc>
        <w:tc>
          <w:tcPr>
            <w:tcW w:w="152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leveraging the TPG</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540" w:type="dxa"/>
            <w:vAlign w:val="bottom"/>
            <w:shd w:val="clear" w:color="auto" w:fill="DBDBDB"/>
          </w:tcPr>
          <w:p>
            <w:pPr>
              <w:spacing w:after="0"/>
              <w:rPr>
                <w:sz w:val="7"/>
                <w:szCs w:val="7"/>
                <w:color w:val="auto"/>
              </w:rPr>
            </w:pPr>
          </w:p>
        </w:tc>
        <w:tc>
          <w:tcPr>
            <w:tcW w:w="152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across a wide range of</w:t>
            </w:r>
          </w:p>
        </w:tc>
        <w:tc>
          <w:tcPr>
            <w:tcW w:w="1980" w:type="dxa"/>
            <w:vAlign w:val="bottom"/>
            <w:gridSpan w:val="2"/>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540" w:type="dxa"/>
            <w:vAlign w:val="bottom"/>
            <w:shd w:val="clear" w:color="auto" w:fill="DBDBDB"/>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control and thematic</w:t>
            </w:r>
          </w:p>
        </w:tc>
        <w:tc>
          <w:tcPr>
            <w:tcW w:w="16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rapidly growing</w:t>
            </w: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societal benefits &amp;</w:t>
            </w:r>
          </w:p>
        </w:tc>
        <w:tc>
          <w:tcPr>
            <w:tcW w:w="1600" w:type="dxa"/>
            <w:vAlign w:val="bottom"/>
            <w:vMerge w:val="continue"/>
          </w:tcPr>
          <w:p>
            <w:pPr>
              <w:spacing w:after="0"/>
              <w:rPr>
                <w:sz w:val="14"/>
                <w:szCs w:val="14"/>
                <w:color w:val="auto"/>
              </w:rPr>
            </w:pPr>
          </w:p>
        </w:tc>
        <w:tc>
          <w:tcPr>
            <w:tcW w:w="198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color w:val="auto"/>
              </w:rPr>
              <w:t>real estate investing platform</w:t>
            </w:r>
          </w:p>
        </w:tc>
        <w:tc>
          <w:tcPr>
            <w:tcW w:w="15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ecosystem to address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40" w:type="dxa"/>
            <w:vAlign w:val="bottom"/>
            <w:shd w:val="clear" w:color="auto" w:fill="DBDBDB"/>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investments</w:t>
            </w:r>
          </w:p>
        </w:tc>
        <w:tc>
          <w:tcPr>
            <w:tcW w:w="16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businesses</w:t>
            </w: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financial returns</w:t>
            </w:r>
          </w:p>
        </w:tc>
        <w:tc>
          <w:tcPr>
            <w:tcW w:w="16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credit opportunities</w:t>
            </w: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market opportunities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5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Platforms</w:t>
            </w:r>
          </w:p>
        </w:tc>
        <w:tc>
          <w:tcPr>
            <w:tcW w:w="1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at scale</w:t>
            </w:r>
          </w:p>
        </w:tc>
        <w:tc>
          <w:tcPr>
            <w:tcW w:w="1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540" w:type="dxa"/>
            <w:vAlign w:val="bottom"/>
            <w:tcBorders>
              <w:bottom w:val="single" w:sz="8" w:color="DBDBDB"/>
            </w:tcBorders>
            <w:shd w:val="clear" w:color="auto" w:fill="DBDBDB"/>
          </w:tcPr>
          <w:p>
            <w:pPr>
              <w:spacing w:after="0"/>
              <w:rPr>
                <w:sz w:val="17"/>
                <w:szCs w:val="17"/>
                <w:color w:val="auto"/>
              </w:rPr>
            </w:pPr>
          </w:p>
        </w:tc>
        <w:tc>
          <w:tcPr>
            <w:tcW w:w="1520" w:type="dxa"/>
            <w:vAlign w:val="bottom"/>
            <w:tcBorders>
              <w:bottom w:val="single" w:sz="8" w:color="DDDDDD"/>
            </w:tcBorders>
          </w:tcPr>
          <w:p>
            <w:pPr>
              <w:spacing w:after="0"/>
              <w:rPr>
                <w:sz w:val="17"/>
                <w:szCs w:val="17"/>
                <w:color w:val="auto"/>
              </w:rPr>
            </w:pPr>
          </w:p>
        </w:tc>
        <w:tc>
          <w:tcPr>
            <w:tcW w:w="1660" w:type="dxa"/>
            <w:vAlign w:val="bottom"/>
            <w:tcBorders>
              <w:bottom w:val="single" w:sz="8" w:color="DDDDDD"/>
            </w:tcBorders>
          </w:tcPr>
          <w:p>
            <w:pPr>
              <w:spacing w:after="0"/>
              <w:rPr>
                <w:sz w:val="17"/>
                <w:szCs w:val="17"/>
                <w:color w:val="auto"/>
              </w:rPr>
            </w:pPr>
          </w:p>
        </w:tc>
        <w:tc>
          <w:tcPr>
            <w:tcW w:w="1420" w:type="dxa"/>
            <w:vAlign w:val="bottom"/>
            <w:tcBorders>
              <w:bottom w:val="single" w:sz="8" w:color="DDDDDD"/>
            </w:tcBorders>
          </w:tcPr>
          <w:p>
            <w:pPr>
              <w:spacing w:after="0"/>
              <w:rPr>
                <w:sz w:val="17"/>
                <w:szCs w:val="17"/>
                <w:color w:val="auto"/>
              </w:rPr>
            </w:pPr>
          </w:p>
        </w:tc>
        <w:tc>
          <w:tcPr>
            <w:tcW w:w="1600" w:type="dxa"/>
            <w:vAlign w:val="bottom"/>
            <w:tcBorders>
              <w:bottom w:val="single" w:sz="8" w:color="DDDDDD"/>
            </w:tcBorders>
          </w:tcPr>
          <w:p>
            <w:pPr>
              <w:spacing w:after="0"/>
              <w:rPr>
                <w:sz w:val="17"/>
                <w:szCs w:val="17"/>
                <w:color w:val="auto"/>
              </w:rPr>
            </w:pPr>
          </w:p>
        </w:tc>
        <w:tc>
          <w:tcPr>
            <w:tcW w:w="1980" w:type="dxa"/>
            <w:vAlign w:val="bottom"/>
            <w:tcBorders>
              <w:bottom w:val="single" w:sz="8" w:color="DDDDDD"/>
            </w:tcBorders>
            <w:gridSpan w:val="2"/>
          </w:tcPr>
          <w:p>
            <w:pPr>
              <w:spacing w:after="0"/>
              <w:rPr>
                <w:sz w:val="17"/>
                <w:szCs w:val="17"/>
                <w:color w:val="auto"/>
              </w:rPr>
            </w:pPr>
          </w:p>
        </w:tc>
        <w:tc>
          <w:tcPr>
            <w:tcW w:w="152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1540" w:type="dxa"/>
            <w:vAlign w:val="bottom"/>
            <w:shd w:val="clear" w:color="auto" w:fill="DBDBDB"/>
          </w:tcPr>
          <w:p>
            <w:pPr>
              <w:spacing w:after="0"/>
              <w:rPr>
                <w:sz w:val="24"/>
                <w:szCs w:val="24"/>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$97.7 billion</w:t>
            </w:r>
          </w:p>
        </w:tc>
        <w:tc>
          <w:tcPr>
            <w:tcW w:w="1660" w:type="dxa"/>
            <w:vAlign w:val="bottom"/>
          </w:tcPr>
          <w:p>
            <w:pPr>
              <w:jc w:val="center"/>
              <w:ind w:right="18"/>
              <w:spacing w:after="0"/>
              <w:rPr>
                <w:sz w:val="20"/>
                <w:szCs w:val="20"/>
                <w:color w:val="auto"/>
              </w:rPr>
            </w:pPr>
            <w:r>
              <w:rPr>
                <w:rFonts w:ascii="Times New Roman" w:cs="Times New Roman" w:eastAsia="Times New Roman" w:hAnsi="Times New Roman"/>
                <w:sz w:val="18"/>
                <w:szCs w:val="18"/>
                <w:color w:val="auto"/>
                <w:w w:val="99"/>
              </w:rPr>
              <w:t>$37.3 billion</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$36.9 billion</w:t>
            </w:r>
          </w:p>
        </w:tc>
        <w:tc>
          <w:tcPr>
            <w:tcW w:w="1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$108.0 billion</w:t>
            </w: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$43.2 billion</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$22.6 billion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540" w:type="dxa"/>
            <w:vAlign w:val="bottom"/>
            <w:shd w:val="clear" w:color="auto" w:fill="DBDBDB"/>
          </w:tcPr>
          <w:p>
            <w:pPr>
              <w:spacing w:after="0"/>
              <w:rPr>
                <w:sz w:val="7"/>
                <w:szCs w:val="7"/>
                <w:color w:val="auto"/>
              </w:rPr>
            </w:pPr>
          </w:p>
        </w:tc>
        <w:tc>
          <w:tcPr>
            <w:tcW w:w="1520" w:type="dxa"/>
            <w:vAlign w:val="bottom"/>
            <w:vMerge w:val="continue"/>
          </w:tcPr>
          <w:p>
            <w:pPr>
              <w:spacing w:after="0"/>
              <w:rPr>
                <w:sz w:val="7"/>
                <w:szCs w:val="7"/>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AUM</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AUM</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AUM</w:t>
            </w:r>
          </w:p>
        </w:tc>
        <w:tc>
          <w:tcPr>
            <w:tcW w:w="760" w:type="dxa"/>
            <w:vAlign w:val="bottom"/>
          </w:tcPr>
          <w:p>
            <w:pPr>
              <w:spacing w:after="0"/>
              <w:rPr>
                <w:sz w:val="7"/>
                <w:szCs w:val="7"/>
                <w:color w:val="auto"/>
              </w:rPr>
            </w:pPr>
          </w:p>
        </w:tc>
        <w:tc>
          <w:tcPr>
            <w:tcW w:w="1220" w:type="dxa"/>
            <w:vAlign w:val="bottom"/>
            <w:vMerge w:val="restart"/>
          </w:tcPr>
          <w:p>
            <w:pPr>
              <w:jc w:val="center"/>
              <w:ind w:right="678"/>
              <w:spacing w:after="0"/>
              <w:rPr>
                <w:sz w:val="20"/>
                <w:szCs w:val="20"/>
                <w:color w:val="auto"/>
              </w:rPr>
            </w:pPr>
            <w:r>
              <w:rPr>
                <w:rFonts w:ascii="Times New Roman" w:cs="Times New Roman" w:eastAsia="Times New Roman" w:hAnsi="Times New Roman"/>
                <w:sz w:val="18"/>
                <w:szCs w:val="18"/>
                <w:color w:val="auto"/>
                <w:w w:val="99"/>
              </w:rPr>
              <w:t>AUM</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AUM</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540" w:type="dxa"/>
            <w:vAlign w:val="bottom"/>
            <w:shd w:val="clear" w:color="auto" w:fill="DBDBDB"/>
          </w:tcPr>
          <w:p>
            <w:pPr>
              <w:spacing w:after="0"/>
              <w:rPr>
                <w:sz w:val="13"/>
                <w:szCs w:val="13"/>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AUM</w:t>
            </w:r>
          </w:p>
        </w:tc>
        <w:tc>
          <w:tcPr>
            <w:tcW w:w="1660" w:type="dxa"/>
            <w:vAlign w:val="bottom"/>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540" w:type="dxa"/>
            <w:vAlign w:val="bottom"/>
            <w:shd w:val="clear" w:color="auto" w:fill="DBDBDB"/>
          </w:tcPr>
          <w:p>
            <w:pPr>
              <w:spacing w:after="0"/>
              <w:rPr>
                <w:sz w:val="7"/>
                <w:szCs w:val="7"/>
                <w:color w:val="auto"/>
              </w:rPr>
            </w:pPr>
          </w:p>
        </w:tc>
        <w:tc>
          <w:tcPr>
            <w:tcW w:w="1520" w:type="dxa"/>
            <w:vAlign w:val="bottom"/>
            <w:vMerge w:val="continue"/>
          </w:tcPr>
          <w:p>
            <w:pPr>
              <w:spacing w:after="0"/>
              <w:rPr>
                <w:sz w:val="7"/>
                <w:szCs w:val="7"/>
                <w:color w:val="auto"/>
              </w:rPr>
            </w:pPr>
          </w:p>
        </w:tc>
        <w:tc>
          <w:tcPr>
            <w:tcW w:w="16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540" w:type="dxa"/>
            <w:vAlign w:val="bottom"/>
            <w:shd w:val="clear" w:color="auto" w:fill="DBDBDB"/>
          </w:tcPr>
          <w:p>
            <w:pPr>
              <w:spacing w:after="0"/>
              <w:rPr>
                <w:sz w:val="21"/>
                <w:szCs w:val="21"/>
                <w:color w:val="auto"/>
              </w:rPr>
            </w:pPr>
          </w:p>
        </w:tc>
        <w:tc>
          <w:tcPr>
            <w:tcW w:w="15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540" w:type="dxa"/>
            <w:vAlign w:val="bottom"/>
            <w:tcBorders>
              <w:bottom w:val="single" w:sz="8" w:color="DDDDDD"/>
            </w:tcBorders>
          </w:tcPr>
          <w:p>
            <w:pPr>
              <w:spacing w:after="0"/>
              <w:rPr>
                <w:sz w:val="14"/>
                <w:szCs w:val="14"/>
                <w:color w:val="auto"/>
              </w:rPr>
            </w:pPr>
          </w:p>
        </w:tc>
        <w:tc>
          <w:tcPr>
            <w:tcW w:w="1520" w:type="dxa"/>
            <w:vAlign w:val="bottom"/>
            <w:tcBorders>
              <w:bottom w:val="single" w:sz="8" w:color="DDDDDD"/>
            </w:tcBorders>
          </w:tcPr>
          <w:p>
            <w:pPr>
              <w:spacing w:after="0"/>
              <w:rPr>
                <w:sz w:val="14"/>
                <w:szCs w:val="14"/>
                <w:color w:val="auto"/>
              </w:rPr>
            </w:pPr>
          </w:p>
        </w:tc>
        <w:tc>
          <w:tcPr>
            <w:tcW w:w="1660" w:type="dxa"/>
            <w:vAlign w:val="bottom"/>
            <w:tcBorders>
              <w:bottom w:val="single" w:sz="8" w:color="DDDDDD"/>
            </w:tcBorders>
          </w:tcPr>
          <w:p>
            <w:pPr>
              <w:spacing w:after="0"/>
              <w:rPr>
                <w:sz w:val="14"/>
                <w:szCs w:val="14"/>
                <w:color w:val="auto"/>
              </w:rPr>
            </w:pPr>
          </w:p>
        </w:tc>
        <w:tc>
          <w:tcPr>
            <w:tcW w:w="1420" w:type="dxa"/>
            <w:vAlign w:val="bottom"/>
            <w:tcBorders>
              <w:bottom w:val="single" w:sz="8" w:color="DDDDDD"/>
            </w:tcBorders>
          </w:tcPr>
          <w:p>
            <w:pPr>
              <w:spacing w:after="0"/>
              <w:rPr>
                <w:sz w:val="14"/>
                <w:szCs w:val="14"/>
                <w:color w:val="auto"/>
              </w:rPr>
            </w:pPr>
          </w:p>
        </w:tc>
        <w:tc>
          <w:tcPr>
            <w:tcW w:w="1600" w:type="dxa"/>
            <w:vAlign w:val="bottom"/>
            <w:tcBorders>
              <w:bottom w:val="single" w:sz="8" w:color="DDDDDD"/>
            </w:tcBorders>
          </w:tcPr>
          <w:p>
            <w:pPr>
              <w:spacing w:after="0"/>
              <w:rPr>
                <w:sz w:val="14"/>
                <w:szCs w:val="14"/>
                <w:color w:val="auto"/>
              </w:rPr>
            </w:pPr>
          </w:p>
        </w:tc>
        <w:tc>
          <w:tcPr>
            <w:tcW w:w="760" w:type="dxa"/>
            <w:vAlign w:val="bottom"/>
            <w:tcBorders>
              <w:bottom w:val="single" w:sz="8" w:color="DDDDDD"/>
            </w:tcBorders>
          </w:tcPr>
          <w:p>
            <w:pPr>
              <w:spacing w:after="0"/>
              <w:rPr>
                <w:sz w:val="14"/>
                <w:szCs w:val="14"/>
                <w:color w:val="auto"/>
              </w:rPr>
            </w:pPr>
          </w:p>
        </w:tc>
        <w:tc>
          <w:tcPr>
            <w:tcW w:w="1220" w:type="dxa"/>
            <w:vAlign w:val="bottom"/>
            <w:tcBorders>
              <w:bottom w:val="single" w:sz="8" w:color="DDDDDD"/>
            </w:tcBorders>
          </w:tcPr>
          <w:p>
            <w:pPr>
              <w:spacing w:after="0"/>
              <w:rPr>
                <w:sz w:val="14"/>
                <w:szCs w:val="14"/>
                <w:color w:val="auto"/>
              </w:rPr>
            </w:pPr>
          </w:p>
        </w:tc>
        <w:tc>
          <w:tcPr>
            <w:tcW w:w="1520" w:type="dxa"/>
            <w:vAlign w:val="bottom"/>
            <w:tcBorders>
              <w:bottom w:val="single" w:sz="8" w:color="DDDDDD"/>
            </w:tcBorders>
          </w:tcPr>
          <w:p>
            <w:pPr>
              <w:spacing w:after="0"/>
              <w:rPr>
                <w:sz w:val="14"/>
                <w:szCs w:val="14"/>
                <w:color w:val="auto"/>
              </w:rPr>
            </w:pPr>
          </w:p>
        </w:tc>
        <w:tc>
          <w:tcPr>
            <w:tcW w:w="20" w:type="dxa"/>
            <w:vAlign w:val="bottom"/>
            <w:tcBorders>
              <w:bottom w:val="single" w:sz="8" w:color="DDDDDD"/>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540" w:type="dxa"/>
            <w:vAlign w:val="bottom"/>
            <w:shd w:val="clear" w:color="auto" w:fill="DBDBDB"/>
          </w:tcPr>
          <w:p>
            <w:pPr>
              <w:spacing w:after="0"/>
              <w:rPr>
                <w:sz w:val="13"/>
                <w:szCs w:val="13"/>
                <w:color w:val="auto"/>
              </w:rPr>
            </w:pPr>
          </w:p>
        </w:tc>
        <w:tc>
          <w:tcPr>
            <w:tcW w:w="15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TPG Capital</w:t>
            </w:r>
          </w:p>
        </w:tc>
        <w:tc>
          <w:tcPr>
            <w:tcW w:w="16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TPG Growth</w:t>
            </w:r>
          </w:p>
        </w:tc>
        <w:tc>
          <w:tcPr>
            <w:tcW w:w="14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The Rise Funds</w:t>
            </w:r>
          </w:p>
        </w:tc>
        <w:tc>
          <w:tcPr>
            <w:tcW w:w="16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TPG Credit Solutions</w:t>
            </w:r>
          </w:p>
        </w:tc>
        <w:tc>
          <w:tcPr>
            <w:tcW w:w="760" w:type="dxa"/>
            <w:vAlign w:val="bottom"/>
          </w:tcPr>
          <w:p>
            <w:pPr>
              <w:jc w:val="center"/>
              <w:ind w:left="158"/>
              <w:spacing w:after="0" w:line="155" w:lineRule="exact"/>
              <w:rPr>
                <w:sz w:val="20"/>
                <w:szCs w:val="20"/>
                <w:color w:val="auto"/>
              </w:rPr>
            </w:pPr>
            <w:r>
              <w:rPr>
                <w:rFonts w:ascii="Times New Roman" w:cs="Times New Roman" w:eastAsia="Times New Roman" w:hAnsi="Times New Roman"/>
                <w:sz w:val="16"/>
                <w:szCs w:val="16"/>
                <w:color w:val="auto"/>
              </w:rPr>
              <w:t>TREP</w:t>
            </w:r>
          </w:p>
        </w:tc>
        <w:tc>
          <w:tcPr>
            <w:tcW w:w="1220" w:type="dxa"/>
            <w:vAlign w:val="bottom"/>
          </w:tcPr>
          <w:p>
            <w:pPr>
              <w:jc w:val="center"/>
              <w:ind w:left="98"/>
              <w:spacing w:after="0" w:line="155" w:lineRule="exact"/>
              <w:rPr>
                <w:sz w:val="20"/>
                <w:szCs w:val="20"/>
                <w:color w:val="auto"/>
              </w:rPr>
            </w:pPr>
            <w:r>
              <w:rPr>
                <w:rFonts w:ascii="Times New Roman" w:cs="Times New Roman" w:eastAsia="Times New Roman" w:hAnsi="Times New Roman"/>
                <w:sz w:val="16"/>
                <w:szCs w:val="16"/>
                <w:color w:val="auto"/>
              </w:rPr>
              <w:t>TPG AG U.S.</w:t>
            </w:r>
          </w:p>
        </w:tc>
        <w:tc>
          <w:tcPr>
            <w:tcW w:w="15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TPG GP Solutions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540" w:type="dxa"/>
            <w:vAlign w:val="bottom"/>
            <w:shd w:val="clear" w:color="auto" w:fill="DBDBDB"/>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jc w:val="center"/>
              <w:ind w:left="98"/>
              <w:spacing w:after="0"/>
              <w:rPr>
                <w:sz w:val="20"/>
                <w:szCs w:val="20"/>
                <w:color w:val="auto"/>
              </w:rPr>
            </w:pPr>
            <w:r>
              <w:rPr>
                <w:rFonts w:ascii="Times New Roman" w:cs="Times New Roman" w:eastAsia="Times New Roman" w:hAnsi="Times New Roman"/>
                <w:sz w:val="16"/>
                <w:szCs w:val="16"/>
                <w:color w:val="auto"/>
                <w:w w:val="99"/>
              </w:rPr>
              <w:t>Real Estate</w:t>
            </w: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8"/>
        </w:trPr>
        <w:tc>
          <w:tcPr>
            <w:tcW w:w="1540" w:type="dxa"/>
            <w:vAlign w:val="bottom"/>
            <w:shd w:val="clear" w:color="auto" w:fill="DBDBDB"/>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TPG Healthcare</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TPG Tech Adjacencies</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TPG Rise Climate</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TPG Direct Lending</w:t>
            </w:r>
          </w:p>
        </w:tc>
        <w:tc>
          <w:tcPr>
            <w:tcW w:w="760" w:type="dxa"/>
            <w:vAlign w:val="bottom"/>
          </w:tcPr>
          <w:p>
            <w:pPr>
              <w:jc w:val="center"/>
              <w:ind w:left="158"/>
              <w:spacing w:after="0"/>
              <w:rPr>
                <w:sz w:val="20"/>
                <w:szCs w:val="20"/>
                <w:color w:val="auto"/>
              </w:rPr>
            </w:pPr>
            <w:r>
              <w:rPr>
                <w:rFonts w:ascii="Times New Roman" w:cs="Times New Roman" w:eastAsia="Times New Roman" w:hAnsi="Times New Roman"/>
                <w:sz w:val="16"/>
                <w:szCs w:val="16"/>
                <w:color w:val="auto"/>
                <w:w w:val="99"/>
              </w:rPr>
              <w:t>TRECO</w:t>
            </w:r>
          </w:p>
        </w:tc>
        <w:tc>
          <w:tcPr>
            <w:tcW w:w="1220" w:type="dxa"/>
            <w:vAlign w:val="bottom"/>
          </w:tcPr>
          <w:p>
            <w:pPr>
              <w:jc w:val="center"/>
              <w:ind w:left="118"/>
              <w:spacing w:after="0"/>
              <w:rPr>
                <w:sz w:val="20"/>
                <w:szCs w:val="20"/>
                <w:color w:val="auto"/>
              </w:rPr>
            </w:pPr>
            <w:r>
              <w:rPr>
                <w:rFonts w:ascii="Times New Roman" w:cs="Times New Roman" w:eastAsia="Times New Roman" w:hAnsi="Times New Roman"/>
                <w:sz w:val="16"/>
                <w:szCs w:val="16"/>
                <w:color w:val="auto"/>
              </w:rPr>
              <w:t>TPG AG</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TPG NewQuest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540" w:type="dxa"/>
            <w:vAlign w:val="bottom"/>
            <w:shd w:val="clear" w:color="auto" w:fill="DBDBDB"/>
          </w:tcPr>
          <w:p>
            <w:pPr>
              <w:spacing w:after="0"/>
              <w:rPr>
                <w:sz w:val="15"/>
                <w:szCs w:val="15"/>
                <w:color w:val="auto"/>
              </w:rPr>
            </w:pPr>
          </w:p>
        </w:tc>
        <w:tc>
          <w:tcPr>
            <w:tcW w:w="15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Partners</w:t>
            </w:r>
          </w:p>
        </w:tc>
        <w:tc>
          <w:tcPr>
            <w:tcW w:w="1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tcPr>
          <w:p>
            <w:pPr>
              <w:jc w:val="center"/>
              <w:ind w:left="118"/>
              <w:spacing w:after="0" w:line="175" w:lineRule="exact"/>
              <w:rPr>
                <w:sz w:val="20"/>
                <w:szCs w:val="20"/>
                <w:color w:val="auto"/>
              </w:rPr>
            </w:pPr>
            <w:r>
              <w:rPr>
                <w:rFonts w:ascii="Times New Roman" w:cs="Times New Roman" w:eastAsia="Times New Roman" w:hAnsi="Times New Roman"/>
                <w:sz w:val="16"/>
                <w:szCs w:val="16"/>
                <w:color w:val="auto"/>
              </w:rPr>
              <w:t>Europe Real</w:t>
            </w: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540" w:type="dxa"/>
            <w:vAlign w:val="bottom"/>
            <w:shd w:val="clear" w:color="auto" w:fill="DBDBDB"/>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jc w:val="center"/>
              <w:ind w:left="118"/>
              <w:spacing w:after="0"/>
              <w:rPr>
                <w:sz w:val="20"/>
                <w:szCs w:val="20"/>
                <w:color w:val="auto"/>
              </w:rPr>
            </w:pPr>
            <w:r>
              <w:rPr>
                <w:rFonts w:ascii="Times New Roman" w:cs="Times New Roman" w:eastAsia="Times New Roman" w:hAnsi="Times New Roman"/>
                <w:sz w:val="16"/>
                <w:szCs w:val="16"/>
                <w:color w:val="auto"/>
                <w:w w:val="97"/>
              </w:rPr>
              <w:t>Estate</w:t>
            </w: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154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Products</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TPG Asia</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TPG Life Sciences</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TRC Transition</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TPG Asset Based</w:t>
            </w:r>
          </w:p>
        </w:tc>
        <w:tc>
          <w:tcPr>
            <w:tcW w:w="760" w:type="dxa"/>
            <w:vAlign w:val="bottom"/>
          </w:tcPr>
          <w:p>
            <w:pPr>
              <w:jc w:val="center"/>
              <w:ind w:left="138"/>
              <w:spacing w:after="0"/>
              <w:rPr>
                <w:sz w:val="20"/>
                <w:szCs w:val="20"/>
                <w:color w:val="auto"/>
              </w:rPr>
            </w:pPr>
            <w:r>
              <w:rPr>
                <w:rFonts w:ascii="Times New Roman" w:cs="Times New Roman" w:eastAsia="Times New Roman" w:hAnsi="Times New Roman"/>
                <w:sz w:val="16"/>
                <w:szCs w:val="16"/>
                <w:color w:val="auto"/>
              </w:rPr>
              <w:t>TRTX</w:t>
            </w:r>
          </w:p>
        </w:tc>
        <w:tc>
          <w:tcPr>
            <w:tcW w:w="1220" w:type="dxa"/>
            <w:vAlign w:val="bottom"/>
          </w:tcPr>
          <w:p>
            <w:pPr>
              <w:jc w:val="center"/>
              <w:ind w:left="118"/>
              <w:spacing w:after="0"/>
              <w:rPr>
                <w:sz w:val="20"/>
                <w:szCs w:val="20"/>
                <w:color w:val="auto"/>
              </w:rPr>
            </w:pPr>
            <w:r>
              <w:rPr>
                <w:rFonts w:ascii="Times New Roman" w:cs="Times New Roman" w:eastAsia="Times New Roman" w:hAnsi="Times New Roman"/>
                <w:sz w:val="16"/>
                <w:szCs w:val="16"/>
                <w:color w:val="auto"/>
              </w:rPr>
              <w:t>TPG Asia</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TPG Peppertree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540" w:type="dxa"/>
            <w:vAlign w:val="bottom"/>
            <w:vMerge w:val="continue"/>
            <w:shd w:val="clear" w:color="auto" w:fill="DBDBDB"/>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Innovations</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Infrastructure</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Finance</w:t>
            </w:r>
          </w:p>
        </w:tc>
        <w:tc>
          <w:tcPr>
            <w:tcW w:w="760" w:type="dxa"/>
            <w:vAlign w:val="bottom"/>
          </w:tcPr>
          <w:p>
            <w:pPr>
              <w:spacing w:after="0"/>
              <w:rPr>
                <w:sz w:val="18"/>
                <w:szCs w:val="18"/>
                <w:color w:val="auto"/>
              </w:rPr>
            </w:pPr>
          </w:p>
        </w:tc>
        <w:tc>
          <w:tcPr>
            <w:tcW w:w="1220" w:type="dxa"/>
            <w:vAlign w:val="bottom"/>
          </w:tcPr>
          <w:p>
            <w:pPr>
              <w:jc w:val="center"/>
              <w:ind w:left="118"/>
              <w:spacing w:after="0"/>
              <w:rPr>
                <w:sz w:val="20"/>
                <w:szCs w:val="20"/>
                <w:color w:val="auto"/>
              </w:rPr>
            </w:pPr>
            <w:r>
              <w:rPr>
                <w:rFonts w:ascii="Times New Roman" w:cs="Times New Roman" w:eastAsia="Times New Roman" w:hAnsi="Times New Roman"/>
                <w:sz w:val="16"/>
                <w:szCs w:val="16"/>
                <w:color w:val="auto"/>
              </w:rPr>
              <w:t>Real Estate</w:t>
            </w: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3"/>
        </w:trPr>
        <w:tc>
          <w:tcPr>
            <w:tcW w:w="1540" w:type="dxa"/>
            <w:vAlign w:val="bottom"/>
            <w:shd w:val="clear" w:color="auto" w:fill="DBDBDB"/>
          </w:tcPr>
          <w:p>
            <w:pPr>
              <w:spacing w:after="0"/>
              <w:rPr>
                <w:sz w:val="24"/>
                <w:szCs w:val="24"/>
                <w:color w:val="auto"/>
              </w:rPr>
            </w:pPr>
          </w:p>
        </w:tc>
        <w:tc>
          <w:tcPr>
            <w:tcW w:w="15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TPG Emerging</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TRC Global South</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TPG CLOs</w:t>
            </w:r>
          </w:p>
        </w:tc>
        <w:tc>
          <w:tcPr>
            <w:tcW w:w="760" w:type="dxa"/>
            <w:vAlign w:val="bottom"/>
          </w:tcPr>
          <w:p>
            <w:pPr>
              <w:jc w:val="center"/>
              <w:ind w:left="158"/>
              <w:spacing w:after="0"/>
              <w:rPr>
                <w:sz w:val="20"/>
                <w:szCs w:val="20"/>
                <w:color w:val="auto"/>
              </w:rPr>
            </w:pPr>
            <w:r>
              <w:rPr>
                <w:rFonts w:ascii="Times New Roman" w:cs="Times New Roman" w:eastAsia="Times New Roman" w:hAnsi="Times New Roman"/>
                <w:sz w:val="16"/>
                <w:szCs w:val="16"/>
                <w:color w:val="auto"/>
                <w:w w:val="97"/>
              </w:rPr>
              <w:t>TAC+</w:t>
            </w:r>
          </w:p>
        </w:tc>
        <w:tc>
          <w:tcPr>
            <w:tcW w:w="1220" w:type="dxa"/>
            <w:vAlign w:val="bottom"/>
          </w:tcPr>
          <w:p>
            <w:pPr>
              <w:jc w:val="center"/>
              <w:ind w:left="118"/>
              <w:spacing w:after="0"/>
              <w:rPr>
                <w:sz w:val="20"/>
                <w:szCs w:val="20"/>
                <w:color w:val="auto"/>
              </w:rPr>
            </w:pPr>
            <w:r>
              <w:rPr>
                <w:rFonts w:ascii="Times New Roman" w:cs="Times New Roman" w:eastAsia="Times New Roman" w:hAnsi="Times New Roman"/>
                <w:sz w:val="16"/>
                <w:szCs w:val="16"/>
                <w:color w:val="auto"/>
              </w:rPr>
              <w:t>TPG Net</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TPG Private Equity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540" w:type="dxa"/>
            <w:vAlign w:val="bottom"/>
            <w:shd w:val="clear" w:color="auto" w:fill="DBDBDB"/>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Companies Asia</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Initiative</w:t>
            </w: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jc w:val="center"/>
              <w:ind w:left="118"/>
              <w:spacing w:after="0"/>
              <w:rPr>
                <w:sz w:val="20"/>
                <w:szCs w:val="20"/>
                <w:color w:val="auto"/>
              </w:rPr>
            </w:pPr>
            <w:r>
              <w:rPr>
                <w:rFonts w:ascii="Times New Roman" w:cs="Times New Roman" w:eastAsia="Times New Roman" w:hAnsi="Times New Roman"/>
                <w:sz w:val="16"/>
                <w:szCs w:val="16"/>
                <w:color w:val="auto"/>
              </w:rPr>
              <w:t>Lease</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Opportunities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2"/>
        </w:trPr>
        <w:tc>
          <w:tcPr>
            <w:tcW w:w="1540" w:type="dxa"/>
            <w:vAlign w:val="bottom"/>
            <w:shd w:val="clear" w:color="auto" w:fill="DBDBDB"/>
          </w:tcPr>
          <w:p>
            <w:pPr>
              <w:spacing w:after="0"/>
              <w:rPr>
                <w:sz w:val="24"/>
                <w:szCs w:val="24"/>
                <w:color w:val="auto"/>
              </w:rPr>
            </w:pPr>
          </w:p>
        </w:tc>
        <w:tc>
          <w:tcPr>
            <w:tcW w:w="15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TPG Sports</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TPG NEXT</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TPG Multi-Asset</w:t>
            </w: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540" w:type="dxa"/>
            <w:vAlign w:val="bottom"/>
            <w:tcBorders>
              <w:bottom w:val="single" w:sz="8" w:color="DBDBDB"/>
            </w:tcBorders>
            <w:shd w:val="clear" w:color="auto" w:fill="DBDBDB"/>
          </w:tcPr>
          <w:p>
            <w:pPr>
              <w:spacing w:after="0"/>
              <w:rPr>
                <w:sz w:val="21"/>
                <w:szCs w:val="21"/>
                <w:color w:val="auto"/>
              </w:rPr>
            </w:pPr>
          </w:p>
        </w:tc>
        <w:tc>
          <w:tcPr>
            <w:tcW w:w="15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Credit</w:t>
            </w:r>
          </w:p>
        </w:tc>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w w:val="98"/>
              </w:rPr>
              <w:t>_________________</w:t>
            </w:r>
          </w:p>
        </w:tc>
        <w:tc>
          <w:tcPr>
            <w:tcW w:w="1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AUM as of September 30, 2026.</w:t>
            </w:r>
          </w:p>
        </w:tc>
        <w:tc>
          <w:tcPr>
            <w:tcW w:w="1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Platforms</w:t>
            </w:r>
          </w:p>
        </w:tc>
        <w:tc>
          <w:tcPr>
            <w:tcW w:w="15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-2956560</wp:posOffset>
            </wp:positionV>
            <wp:extent cx="8255" cy="1111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11112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-3505200</wp:posOffset>
            </wp:positionV>
            <wp:extent cx="8255" cy="6597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65976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-3505200</wp:posOffset>
            </wp:positionV>
            <wp:extent cx="8890" cy="6597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65976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-4465320</wp:posOffset>
            </wp:positionV>
            <wp:extent cx="8890" cy="16198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161988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-4465320</wp:posOffset>
            </wp:positionV>
            <wp:extent cx="8890" cy="16198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161988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-4465320</wp:posOffset>
            </wp:positionV>
            <wp:extent cx="8255" cy="16198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161988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-4465320</wp:posOffset>
            </wp:positionV>
            <wp:extent cx="8255" cy="16198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1619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-4585335</wp:posOffset>
            </wp:positionV>
            <wp:extent cx="977265" cy="3943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77265" cy="394335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Capital</w:t>
      </w:r>
    </w:p>
    <w:p>
      <w:pPr>
        <w:spacing w:after="0" w:line="22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Our Capital platform is focused on large-scale, control-oriented private equity investments. We pursue opportunities across geographies and specialize in sectors where we have developed deep thematic expertise over time. Our Capital platform funds are organized in three primary products: (1) TPG Capital, (2) TPG Healthcare Partners and (3) TPG Asia.</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certain data about our Capital platform as of September 30, 2026 (dollars in billions):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AUM</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Fee-earning AUM</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Active Funds</w:t>
            </w: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Available Capital</w:t>
            </w:r>
          </w:p>
        </w:tc>
      </w:tr>
      <w:tr>
        <w:trPr>
          <w:trHeight w:val="226"/>
        </w:trPr>
        <w:tc>
          <w:tcPr>
            <w:tcW w:w="2740" w:type="dxa"/>
            <w:vAlign w:val="bottom"/>
            <w:tcBorders>
              <w:top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35"/>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rPr>
              <w:t>$23</w:t>
            </w:r>
          </w:p>
        </w:tc>
      </w:tr>
    </w:tbl>
    <w:p>
      <w:pPr>
        <w:spacing w:after="0" w:line="2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Product: TPG Capital</w:t>
      </w:r>
    </w:p>
    <w:p>
      <w:pPr>
        <w:spacing w:after="0" w:line="227" w:lineRule="exact"/>
        <w:rPr>
          <w:sz w:val="20"/>
          <w:szCs w:val="20"/>
          <w:color w:val="auto"/>
        </w:rPr>
      </w:pPr>
    </w:p>
    <w:p>
      <w:pPr>
        <w:jc w:val="both"/>
        <w:ind w:right="20" w:firstLine="486"/>
        <w:spacing w:after="0" w:line="256" w:lineRule="auto"/>
        <w:rPr>
          <w:sz w:val="20"/>
          <w:szCs w:val="20"/>
          <w:color w:val="auto"/>
        </w:rPr>
      </w:pPr>
      <w:r>
        <w:rPr>
          <w:rFonts w:ascii="Times New Roman" w:cs="Times New Roman" w:eastAsia="Times New Roman" w:hAnsi="Times New Roman"/>
          <w:sz w:val="18"/>
          <w:szCs w:val="18"/>
          <w:color w:val="auto"/>
        </w:rPr>
        <w:t>TPG Capital is our North America and Europe-focused private equity investing business, with $63.3 billion in assets under management as of September 30, 2026. TPG Capital employs a sector-driven, highly thematic approach to sourcing and primarily seeks to invest in traditional buyouts, transformational deals such as corporate carve-outs and large-scale growth equity transactions. We invest in market leaders with fundamentally strong business models that are expected to benefit from long-term secular growth trends. We also seek to help our portfolio companies accelerate their growth under our ownership through a variety of operational improvements, such as by leveraging our human capital team to upgrade or enhance our management teams and boards, and by investing in organic and inorganic growth.</w:t>
      </w: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Healthcare Partners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established TPG Healthcare Partners (“THP”) in 2019 to pursue healthcare-related investments, primarily in partnership with other TPG funds. THP provides our limited partners with a dedicated healthcare investment platform that touches all areas of healthcare, including providers, payors, pharmaceuticals, medical devices and healthcare technology.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Asia</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TPG was one of the first alternative asset management firms to establish a dedicated Asia franchise and began investing in the region in 1994. Currently, TPG Asia focuses on pursuing investments in the Asia-Pacific region, including Australia, India, Korea and Southeast Asia, with $24.5 billion in assets under management as of September 30, 2026. Our distributed regional footprint has provided a foundation for us to pursue highly attractive investing opportunities in the region with both new and existing products and strategies. We invest through a variety of transaction structures, including through partnerships with large corporations and families.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Growth</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Growth is our dedicated growth equity and middle market investing platform. It provides us with a flexible mandate to invest in companies across our core sectors that are earlier in their life cycle, are smaller in size and/or have different profiles than would be considered for our Capital platform. Our Growth funds are organized in five primary products: (1) TPG Growth, (2) TPG Tech Adjacencies, (3) TPG Life Sciences Innovations, (4) TPG Emerging Companies Asia and (5) TPG Sports.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certain data about our Growth platform as of September 30, 2026 (dollars in billions):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AUM</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Fee-earning AUM</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Active Funds</w:t>
            </w: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Available Capital</w:t>
            </w:r>
          </w:p>
        </w:tc>
      </w:tr>
      <w:tr>
        <w:trPr>
          <w:trHeight w:val="226"/>
        </w:trPr>
        <w:tc>
          <w:tcPr>
            <w:tcW w:w="2740" w:type="dxa"/>
            <w:vAlign w:val="bottom"/>
            <w:tcBorders>
              <w:top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35"/>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rPr>
              <w:t>$8</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Growth</w:t>
      </w:r>
    </w:p>
    <w:p>
      <w:pPr>
        <w:spacing w:after="0" w:line="22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TPG Growth is our dedicated growth equity and middle market investing product, with $20.0 billion in assets under management as of September 30, 2026. TPG Growth seeks to make growth buyout and growth equity investments, primarily in North America and India.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Tech Adjacencies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Tech Adjacencies (“TTAD”), with $12.3 billion in assets under management as of September 30, 2026, is a product we developed organically to pursue minority and/or structured investments in internet, software, digital media and other technology sectors. Specifically, TTAD aims to provide flexible capital for founders, employees and early investors seeking liquidity, as well as primary structured equity solutions for companies looking for additional, creative capital for growth.</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Life Sciences Innovations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TPG Life Sciences Innovations (“LSI”) was launched in 2023 and seeks to invest in the life sciences sector in novel therapeutics as well as digital health, medical devices, diagnostics and tech-enabled services. LSI invests across different therapeutic areas and stages, from company creation to IPO, and leverages TPG’s broad experience in the healthcare sector.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Emerging Companies Asia</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Emerging Companies Asia (“TECA”) is our new lower-to-middle market growth buyout strategy focused on developed markets in the APAC region, primarily Australia, New Zealand, Southeast Asia and South Korea. TECA leverages our 30-year track record in Asia and deep sector specialization to invest in profitable companies benefitting from regional tailwinds. TECA targets control-oriented transactions, while selectively pursuing minority investments.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Sports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TPG Sports is our dedicated strategy focused on pursuing investment opportunities in the sports ecosystem. TPG Sports aims to provide strategic primary capital and business building capabilities to operating companies and technology providers serving the sports market, and to invest in sports IP (i.e., leagues, teams and events).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Impact</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multi-fund Impact platform, which we believe is among the largest in the industry, pursues competitive, non-concessionary financial returns while also providing measurable societal benefits at scale, harnessing the diverse skills of a differentiated group of value-add stakeholders including:</w:t>
      </w:r>
    </w:p>
    <w:p>
      <w:pPr>
        <w:spacing w:after="0" w:line="160" w:lineRule="exact"/>
        <w:rPr>
          <w:sz w:val="20"/>
          <w:szCs w:val="20"/>
          <w:color w:val="auto"/>
        </w:rPr>
      </w:pPr>
    </w:p>
    <w:p>
      <w:pPr>
        <w:ind w:right="20" w:firstLine="494"/>
        <w:spacing w:after="0" w:line="284" w:lineRule="auto"/>
        <w:tabs>
          <w:tab w:leader="none" w:pos="6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Y Analytics: </w:t>
      </w:r>
      <w:r>
        <w:rPr>
          <w:rFonts w:ascii="Times New Roman" w:cs="Times New Roman" w:eastAsia="Times New Roman" w:hAnsi="Times New Roman"/>
          <w:sz w:val="18"/>
          <w:szCs w:val="18"/>
          <w:color w:val="auto"/>
        </w:rPr>
        <w:t>A public benefit organization that is wholly owned by TPG, which functions as TPG’s firm-wide responsible investing and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arm, and among other services, provides impact research and rigorous assessment for impact investments.</w:t>
      </w:r>
    </w:p>
    <w:p>
      <w:pPr>
        <w:spacing w:after="0" w:line="158"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TPG Rise Global Advisory Board: </w:t>
      </w:r>
      <w:r>
        <w:rPr>
          <w:rFonts w:ascii="Times New Roman" w:cs="Times New Roman" w:eastAsia="Times New Roman" w:hAnsi="Times New Roman"/>
          <w:sz w:val="18"/>
          <w:szCs w:val="18"/>
          <w:color w:val="auto"/>
        </w:rPr>
        <w:t>A group of investors experienced with driving social and environmental change and financial returns.</w:t>
      </w:r>
    </w:p>
    <w:p>
      <w:pPr>
        <w:spacing w:after="0" w:line="225" w:lineRule="exact"/>
        <w:rPr>
          <w:rFonts w:ascii="Times New Roman" w:cs="Times New Roman" w:eastAsia="Times New Roman" w:hAnsi="Times New Roman"/>
          <w:sz w:val="18"/>
          <w:szCs w:val="18"/>
          <w:color w:val="auto"/>
        </w:rPr>
      </w:pPr>
    </w:p>
    <w:p>
      <w:pPr>
        <w:jc w:val="both"/>
        <w:ind w:firstLine="494"/>
        <w:spacing w:after="0" w:line="267" w:lineRule="auto"/>
        <w:tabs>
          <w:tab w:leader="none" w:pos="6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TPG Rise Climate Coalition: </w:t>
      </w:r>
      <w:r>
        <w:rPr>
          <w:rFonts w:ascii="Times New Roman" w:cs="Times New Roman" w:eastAsia="Times New Roman" w:hAnsi="Times New Roman"/>
          <w:sz w:val="18"/>
          <w:szCs w:val="18"/>
          <w:color w:val="auto"/>
        </w:rPr>
        <w:t>A partnership between TPG and 35 leading global enterprises that are investors in TPG Rise Climate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accelerate the sharing of knowledge, best practices and investment opportunities arising from the energy transition among the group and more broadly across the TPG Impact platform.</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demonstrated that our impact investments can deliver profit and positive impact in tandem. Our Impact funds are organized in five primary products: (1) The Rise Funds, (2) TPG Rise Climate, (3) TPG Rise Climate Transition Infrastructure, (4) TPG Rise Climate Global South Initiative and (5) TPG NEXT.</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certain data about our Impact platform as of September 30, 2026 (dollars in billions):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AUM</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Fee-earning AUM</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Active Funds</w:t>
            </w: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Available Capital</w:t>
            </w:r>
          </w:p>
        </w:tc>
      </w:tr>
      <w:tr>
        <w:trPr>
          <w:trHeight w:val="226"/>
        </w:trPr>
        <w:tc>
          <w:tcPr>
            <w:tcW w:w="2740" w:type="dxa"/>
            <w:vAlign w:val="bottom"/>
            <w:tcBorders>
              <w:top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35"/>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rPr>
              <w:t>$11</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The Rise Funds</w:t>
      </w:r>
    </w:p>
    <w:p>
      <w:pPr>
        <w:spacing w:after="0" w:line="214" w:lineRule="exact"/>
        <w:rPr>
          <w:sz w:val="20"/>
          <w:szCs w:val="20"/>
          <w:color w:val="auto"/>
        </w:rPr>
      </w:pPr>
    </w:p>
    <w:p>
      <w:pPr>
        <w:jc w:val="both"/>
        <w:ind w:right="20" w:firstLine="486"/>
        <w:spacing w:after="0" w:line="250" w:lineRule="auto"/>
        <w:rPr>
          <w:sz w:val="20"/>
          <w:szCs w:val="20"/>
          <w:color w:val="auto"/>
        </w:rPr>
      </w:pPr>
      <w:r>
        <w:rPr>
          <w:rFonts w:ascii="Times New Roman" w:cs="Times New Roman" w:eastAsia="Times New Roman" w:hAnsi="Times New Roman"/>
          <w:sz w:val="18"/>
          <w:szCs w:val="18"/>
          <w:color w:val="auto"/>
        </w:rPr>
        <w:t>The Rise Funds are our dedicated vehicles for investing globally in companies that generate business performance and strong returns alongside a demonstrable and significant positive societal impact, with $10.7 billion in assets under management as of September 30, 2026. The Rise Funds’ core areas of focus include climate and conservation, education, financial inclusion, food and agriculture, healthcare and impact services.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Rise Climate</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Launched in 2021, TPG Rise Climate (“Rise Climate”) is our dedicated climate private equity impact investing product, which has raised $18.7 billion in total commitments. Rise Climate applies TPG’s private equity capabilities to pursue climate-related investments in thematic areas including clean electrons, clean molecules and materials and adaptive solutions, all without sacrificing our focus on financial returns. Rise Climate has a global focus and invests opportunistically across buyouts, carve-outs and growth equity transactions.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Rise Climate Transition Infrastructure</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Rise Climate Transition Infrastructure (“Rise Climate TI”) is our newly formed product focused on investing in infrastructure businesses and assets that we believe have or will have positive climate impact. Rise Climate TI pursues climate-related investments in thematic areas including clean electrons, clean molecules and materials and adaptive solutions, seeking to capture return opportunities between core infrastructure and private equity within the energy transition, green mobility, negative emissions and sustainable fuels sectors.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Rise Climate Global South Initiative</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Rise Climate Global South Initiative (“GSI”) is our sidecar product to TPG Rise Climate and a dedicated pool of capital focused on climate-related investments in countries that are not members of the OECD (such non-OECD countries, collectively, the “Global South”). GSI is an expansion of Rise Climate’s strategy and seeks to direct large-scale capital towards ready-to-scale climate solutions to catalyze their adoption by the Global South, in countries where TPG has an existing footprint and investment track record.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NEXT</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TPG NEXT provides strategic minority capital and custom operational support to help emerging managers establish, build and scale their firms. TPG announced the launch of the inaugural TPG NEXT fund in 2022 to use the power of TPG’s platform—including its capital, network and 30-plus year track record of business building—to accelerate the growth and de-risk the success of the next generation of alternative investment managers. Firms that partner with TPG NEXT gain access to TPG’s network, operational and investment capabilities, and ecosystem to support strategic business building and expansion.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Credit</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TPG’s alternative credit products (collectively referred to as “Credit”) are: (1) TPG Credit Solutions, (2) TPG Direct Lending, (3) TPG Asset Based Finance, (4) TPG CLOs and (5) TPG Multi-Asset Credit. Credit’s capabilities span private and tradable credit across corporate and asset-backed markets.</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certain data about our Credit platform as of September 30, 2026 (dollars in billions):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gridSpan w:val="2"/>
          </w:tcPr>
          <w:p>
            <w:pPr>
              <w:ind w:left="1180"/>
              <w:spacing w:after="0"/>
              <w:rPr>
                <w:sz w:val="20"/>
                <w:szCs w:val="20"/>
                <w:color w:val="auto"/>
              </w:rPr>
            </w:pPr>
            <w:r>
              <w:rPr>
                <w:rFonts w:ascii="Times New Roman" w:cs="Times New Roman" w:eastAsia="Times New Roman" w:hAnsi="Times New Roman"/>
                <w:sz w:val="16"/>
                <w:szCs w:val="16"/>
                <w:b w:val="1"/>
                <w:bCs w:val="1"/>
                <w:color w:val="auto"/>
              </w:rPr>
              <w:t>AUM</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Fee-earning AUM</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Active Funds</w:t>
            </w: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Available Capital</w:t>
            </w:r>
          </w:p>
        </w:tc>
      </w:tr>
      <w:tr>
        <w:trPr>
          <w:trHeight w:val="226"/>
        </w:trPr>
        <w:tc>
          <w:tcPr>
            <w:tcW w:w="274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35"/>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rPr>
              <w:t>$25</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Credit Solutions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TPG Credit Solutions, with $24.0 billion in assets under management as of September 30, 2026, invests in stressed, distressed and special situation corporate credit opportunities, primarily in North America and Europe, and can dynamically pivot between the public and private markets. TPG Credit Solutions employs what we believe to be a differentiated, solutions-based approach that is capable of being executed in any market environment. TPG Credit Solutions seeks to align with companies, financial sponsors and business owners and to use its structuring skill and flexible capital base to create bespoke, bilaterally-negotiated financing transactions that help resolve complex and idiosyncratic financial challenges. TPG Credit Solutions funds may also opportunistically invest in securities acquired at what the investment team believes are discounted prices relative to their intrinsic value and offer the potential for contractual income and/or price appreciation. TPG Credit Solutions invests through the Credit Solutions, Essential Housing and Hybrid Solutions closed-end funds, as well as the Corporate Credit Opportunities open-ended fund.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Direct Lending</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TPG Direct Lending focuses on sourcing, underwriting and actively managing a diversified portfolio of lower middle market, senior secured loans, including revolvers and first lien debt, and seeks to deliver stable and attractive returns while minimizing volatility and protecting the downside. As a direct lender to private equity backed lower middle market companies primarily with $25.0 million of EBITDA or less, the product focuses on sourcing differentiated opportunities from our long-standing and diverse set of sponsor relationships. TPG Direct Lending includes the TPG AG Middle Market Direct Lending (“MMDL”) closed-end fund series and evergreen vehicle, SMAs, TPG Advantage Direct Lending (“ADL”), as well as a public, non-traded business development company (“BDC”), TPG Twin Brook Capital Income Fund (“TCAP”). As of September 30, 2026, TPG Direct Lending had $38.4 billion in assets under management.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Asset Based Finance</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TPG Asset Based Finance focuses on investment-grade asset-based finance and direct lending, with opportunities to expand through additional strategies over time. TPG Asset Based Finance invests through a variety of vehicles including the Mortgage Value Partners Fund open-ended hedge fund, the Asset Based Credit closed-end fund series and evergreen vehicle, SMAs and TPG Mortgage Investment Trust, Inc. (NYSE: MITT) (“MITT”), which is an externally managed, publicly traded residential mortgage real estate investment trust. As of September 30, 2026, TPG Asset Based Finance had $34.1 billion in assets under management.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CLOs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TPG CLOs, with $8.8 billion in assets under management as of September 30, 2026, invest predominantly in non-investment grade senior secured bank loans. TPG CLOs investment team consists of members in both New York and London. The U.S. CLOs invest in U.S. dollar-denominated broadly syndicated loans, and the European CLOs invest in Euro-denominated loans and secured bonds. Our global platform allows us to provide our investors with diversification across industries and geographies as we construct well diversified, liquid portfolios that are actively traded. In addition to TPG CLOs, the platform also manages bespoke performing credit vehicles and commingled closed end CLO funds.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Multi-Asset Credit</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TPG Multi-Asset Credit, with $2.8 billion in assets under management as of September 30, 2026, invests across the breadth of Credit, with a geographic focus in the United States and Western Europe. TPG Multi-Asset Credit offers actively managed co-mingled funds, including the Super Fund, which changed its name to Dynamic Credit Income Fund, effective January 1, 2026, in addition to bespoke vehicles and various multi-strategy credit funds-of-one. These funds invest in public and private investment opportunities sourced from across Credit, as well as arbitrage strategies, including convertible arbitrage and merger arbitrage. TPG Multi-Asset Credit funds invest in, among other products, corporate loans and bonds, residential, consumer and asset-based loans and securities, hybrid instruments and derivative securities, including currency and interest rate hedges.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Real Estate</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established our real estate investing practice in 2009 to pursue real estate investments systematically and at significant scale. TPG’s real estate products (collectively referred to as “Real Estate”) are (1) TPG Real Estate Partners, (2) TPG Real Estate Thematic Advantage Core-Plus, (3) TPG AG U.S. Real Estate, (4) TPG AG Europe Real Estate, (5) TPG Asia Real Estate, (6) TPG Net Lease, (7) TPG RE Finance Trust, Inc. and (8) TPG Real Estate Credit Opportunities. TPG Real Estate products in the United States, Asia and Europe primarily focus on the acquisition of equity interests of underperforming and undervalued assets, where we can employ our opportunistic and value-add strategies to improve performance. We believe Real Estate’s extensive and proprietary network of operating partners across each of the regions where we operate positions us to effectively identify inefficiencies and source opportunities on an off-market basis. TPG Net Lease primarily invests in single tenant commercial real estate acquired in simultaneous sale-leaseback transactions.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certain data about our Real Estate platform as of September 30, 2026 (dollars in billions):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AUM</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Fee-earning AUM</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Active Funds</w:t>
            </w: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Available Capital</w:t>
            </w:r>
          </w:p>
        </w:tc>
      </w:tr>
      <w:tr>
        <w:trPr>
          <w:trHeight w:val="226"/>
        </w:trPr>
        <w:tc>
          <w:tcPr>
            <w:tcW w:w="2740" w:type="dxa"/>
            <w:vAlign w:val="bottom"/>
            <w:tcBorders>
              <w:top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35"/>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rPr>
              <w:t>$14</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Real Estate Partners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TPG Real Estate Partners (“TREP”), with $11.8 billion in assets under management as of September 30, 2026, focuses on acquiring and building platforms, which we believe creates more efficient operating structures and ultimately results in scaled investments that may trade at premium entity-level pricing in excess of the net asset value of individual properties. TREP utilizes a distinct theme-based strategy for sourcing and executing proprietary investments and, over time, many of these themes have aligned with TPG’s broader thematic sector expertise, particularly those pertaining to the healthcare and technology sectors.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Real Estate Thematic Advantage Core-Plus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Real Estate Thematic Advantage Core-Plus (“TAC+”), with $4.2 billion in assets under management as of September 30, 2026, is an extension of our opportunistic real estate investment program. TAC+ targets investments in stabilized (or near stabilized) high-quality real estate, particularly in thematic sectors where we have gained significant experience and conviction. The investment strategy is designed to enhance traditional core-plus objectives of capital preservation and reliable current income generation by applying our differentiated thematic approach, strategy and skillset.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AG U.S. Real Estate</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TPG AG U.S. Real Estate, with $6.1 billion in assets under management as of September 30, 2026, manages assets across various product sectors and has been active in many of the major U.S. real estate markets. TPG AG U.S. Real Estate focuses on purchasing what we believe to be underperforming and undervalued real estate assets, where we then execute an active asset management strategy to reposition and stabilize the properties. TPG AG U.S. Real Estate is diversified across property sectors, with a thematic portfolio construction focused on rental residential, industrial, self-storage, life science, student housing and medical office, among other sectors.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AG Europe Real Estate</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AG Europe Real Estate, with $4.7 billion in assets under management as of September 30, 2026, manages assets across Europe, with investments primarily located in major cities in Western Europe and the United Kingdom. TPG AG Europe Real Estate focuses on sub-performing and distressed real estate assets. The TPG AG Europe Real Estate portfolio includes industrial, residential, office, hotel, retail, student housing, self-storage and other asset types.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Asia Real Estate</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Asia Real Estate, with $6.5 billion in assets under management as of September 30, 2026, manages assets across Asia, with investments primarily in Japan, South Korea, Hong Kong, China and Singapore. TPG Asia Real Estate focuses on capitalizing on opportunistic investments primarily created through situations such as a lack of real estate expertise, illiquidity or distress. The TPG Asia Real Estate portfolio includes office, industrial, residential, hotel, retail, life science and other asset types.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Net Lease</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Net Lease, with $2.5 billion in assets under management as of September 30, 2026, focuses on single tenant commercial real estate, generally leased to non-investment grade tenants, largely acquired in simultaneous sale-leaseback transactions. TPG Net Lease primarily purchases existing facilities that are integral to the ongoing operations of the tenants, such as a company’s manufacturing plant or distribution centers. TPG Net Lease manages assets primarily located within the United States, with certain assets in the United Kingdom, Western Europe, Canada and Mexico.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Real Estate Credit</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TPG RE Finance Trust, Inc.</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RE Finance Trust, Inc. (NYSE: TRTX) (“TRTX”) is externally managed by an affiliate of TPG and directly originates, acquires and manages commercial mortgage loans and other commercial real estate-related debt instruments in North America for its balance sheet. The platform’s objective is to provide attractive risk-adjusted returns to its stockholders over time through cash distributions. As of September 30, 2026, the TRTX loan investment portfolio consisted of 59 first mortgage loans (or interests therein) and total loan commitments of $5.2 billion.</w:t>
      </w:r>
    </w:p>
    <w:p>
      <w:pPr>
        <w:spacing w:after="0" w:line="1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TPG Real Estate Credit Opportunities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Real Estate Credit Opportunities (“TRECO”), which was established in 2023, is our opportunistic, real estate credit strategy targeting risk-adjusted returns through investments primarily in real estate-related high-yield senior and subordinate loans and securities. TRECO focuses on select sectors and geographies where we have distinct expertise informed by our longstanding practice around theme development. The fund has a flexible mandate and seeks to invest opportunistically across the credit spectrum.</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Market Solutions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Market Solutions platform leverages the broader TPG ecosystem to create differentiated products in order to address specific market opportunities.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certain data about our Market Solutions platform as of September 30, 2026 (dollars in billions):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AUM</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Fee-earning AUM</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Active Funds</w:t>
            </w: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Available Capital</w:t>
            </w:r>
          </w:p>
        </w:tc>
      </w:tr>
      <w:tr>
        <w:trPr>
          <w:trHeight w:val="226"/>
        </w:trPr>
        <w:tc>
          <w:tcPr>
            <w:tcW w:w="2740" w:type="dxa"/>
            <w:vAlign w:val="bottom"/>
            <w:tcBorders>
              <w:top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35"/>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195"/>
              <w:spacing w:after="0"/>
              <w:rPr>
                <w:sz w:val="20"/>
                <w:szCs w:val="20"/>
                <w:color w:val="auto"/>
              </w:rPr>
            </w:pPr>
            <w:r>
              <w:rPr>
                <w:rFonts w:ascii="Times New Roman" w:cs="Times New Roman" w:eastAsia="Times New Roman" w:hAnsi="Times New Roman"/>
                <w:sz w:val="18"/>
                <w:szCs w:val="18"/>
                <w:color w:val="auto"/>
              </w:rPr>
              <w:t>$6</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GP-led Secondaries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private markets solutions business provides single asset solutions to private asset owners, typically through continuation vehicles, funds or underlying third-party investment managers who will continue to control such assets in which the funds invest. Our private markets solutions business is organized into two businesses: (1) NewQuest and (2) TPG GP Solutions (“TGS”).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NewQuest Capital</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NewQuest seeks to acquire private equity positions on a secondary basis in underlying portfolio companies whose businesses are substantially based in the Asia Pacific region. With $3.0 billion in assets under management as of September 30, 2026, NewQuest is principally focused on complex secondary transactions.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TPG GP Solutions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Established in 2021, TGS was created to invest in high-quality, stable private equity assets, which are principally based in North America and Europe, in partnership with third-party general partners. With $5.6 billion in assets under management as of September 30, 2026, TGS brings a primary private equity approach to the general partner-led secondaries market that leverages the TGS team’s deep investing experience and the insights and expertise of the broader TPG ecosystem.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Private Equity Opportunities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TPG Private Equity Opportunities (“T-POP”) seeks to create an attractive and diversified portfolio of private equity assets primarily through making direct co-investments in transactions executed by TPG’s private equity strategies. Structured as a perpetual investment solution, T-POP accepts fully funded subscriptions monthly and aims to provide limited partners a liquidity option by means of a quarterly redemption program. T-POP launched in June 2025 and as of September 30, 2026, had $3.5 billion in assets under management.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TPG Peppertree</w:t>
      </w:r>
    </w:p>
    <w:p>
      <w:pPr>
        <w:spacing w:after="0" w:line="227"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Peppertree was formed in 2004 and acquired by TPG in July 2025. TPG Peppertree specializes in investing in wireless communication towers within the digital infrastructure space. With $10.0 billion in assets under management as of September 30, 2026, TPG Peppertree has made more than 180 investments through ten flagship funds, supporting the construction and acquisition of more than 11,000 wireless communication infrastructure assets.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Capital Markets</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dedicated capital markets group centralizes our in-house debt and equity advisory expertise and optimizes capital solutions for our investment professionals and portfolio companies. Primary activities include:</w:t>
      </w:r>
    </w:p>
    <w:p>
      <w:pPr>
        <w:spacing w:after="0" w:line="160" w:lineRule="exact"/>
        <w:rPr>
          <w:sz w:val="20"/>
          <w:szCs w:val="20"/>
          <w:color w:val="auto"/>
        </w:rPr>
      </w:pPr>
    </w:p>
    <w:p>
      <w:pPr>
        <w:jc w:val="both"/>
        <w:ind w:firstLine="494"/>
        <w:spacing w:after="0" w:line="267" w:lineRule="auto"/>
        <w:tabs>
          <w:tab w:leader="none" w:pos="5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Capital Markets: </w:t>
      </w:r>
      <w:r>
        <w:rPr>
          <w:rFonts w:ascii="Times New Roman" w:cs="Times New Roman" w:eastAsia="Times New Roman" w:hAnsi="Times New Roman"/>
          <w:sz w:val="18"/>
          <w:szCs w:val="18"/>
          <w:color w:val="auto"/>
        </w:rPr>
        <w:t>(i) Structure and execute new deal and acquisition financings across leveraged loans, high yield bonds and mezzanine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(privately placed and syndicated) and (ii) manage capital structures on an ongoing basis, including re-financings, re-pricings, hedging, amendments and extensions and other services.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94"/>
        <w:spacing w:after="0" w:line="267" w:lineRule="auto"/>
        <w:tabs>
          <w:tab w:leader="none" w:pos="5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Capital Markets: </w:t>
      </w:r>
      <w:r>
        <w:rPr>
          <w:rFonts w:ascii="Times New Roman" w:cs="Times New Roman" w:eastAsia="Times New Roman" w:hAnsi="Times New Roman"/>
          <w:sz w:val="18"/>
          <w:szCs w:val="18"/>
          <w:color w:val="auto"/>
        </w:rPr>
        <w:t>(i) Act as lead advisor and underwriter on capital raises and the monetization of our ownership stakes in the public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including initial public offerings, follow-on offerings, equity-linked products and subsequent realizations and (ii) provide dual-track and structured equity solutions advisory, among other services.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Through our capital markets activities, we generate underwriting, placement, arrangement, structuring and advisory fee revenue. During the three and nine months ended September 30, 2026, our capital markets business drove $72.5 million and $268.8 million in transaction revenue, respectively. During the three and nine months ended September 30, 2025, our capital markets business drove $46.7 million and $155.3 million in transaction revenue, respectively. We believe that the high margin profile of our business coupled with our consistent ability to deliver superior financing outcomes drives significant value to our portfolio companies and our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Changes in global economic conditions and regulatory or other governmental policies or actions can materially affect the values of funds managed by TPG, as well as our ability to source attractive investments and deploy the capital that we have raised. However, we believe our disciplined investment philosophy across our diversified investment platforms and our shared investment themes focusing on attractive and resilient sectors of the global economy has historically contributed to the stability of our performance throughout market cycles.</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third quarter of 2026 was characterized by moderating equity market performance, a resumption of Federal Reserve policy tightening and a significant increase in Treasury yields. While major equity indices remained near record highs and delivered positive returns, market leadership became increasingly concentrated among large-cap technology companies. At the same time, investors reassessed the outlook for inflation and monetary policy as the Federal Reserve raised interest rates for the first time since 2023 and Treasury yields climbed to their highest levels in decades.</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U.S. equity markets produced mixed results during the quarter. Large-cap indices generated modest gains, led by continued strength in technology-oriented companies. The Nasdaq Composite advanced 2.6%, the Nasdaq 100 gained 0.6% and the S&amp;P 500 rose 2.3%. In contrast, smaller-capitalization equities lagged as higher interest rates and a more restrictive policy environment weighed on performance. The Russell 2000 declined 7.2% and the S&amp;P MidCap 400 decreased 6.4%. The divergence in returns reflected increasingly narrow market leadership following the broad-based rally experienced during the second quarter.</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Sector performance was similarly uneven. Energy was the strongest-performing sector, rising 17.2% during the quarter as commodity prices rose due to the ongoing conflict in the Middle East. Technology gained 7.2%, Healthcare advanced 6.5% and Communication Services increased 3.6%. Relative underperformers included Utilities, Industrials and Real Estate, which fell (12.4%), (9.7%) and (5.6%), respectively. The dispersion between sector returns highlighted investor selectivity amid a more challenging macroeconomic and interest rate environment.</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Macroeconomic developments during the quarter were shaped by persistent inflationary pressures, resilient economic growth and a shift in Federal Reserve policy. While inflation continued to moderate from prior highs, it remained above the Federal Reserve’s long-term 2% target. Labor market conditions also remained relatively healthy, supporting continued economic expansion. Against this backdrop, the Federal Reserve raised the federal funds target range by 25 basis points to a range of 3.75% to 4.00% in September, marking its first rate increase since 2023. Policymakers cited elevated inflation and stronger-than-expected economic activity as factors supporting tighter monetary policy and indicated that additional rate increases could be warranted should inflationary pressures persist.</w:t>
      </w:r>
    </w:p>
    <w:p>
      <w:pPr>
        <w:spacing w:after="0" w:line="18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United States Treasury yields rose sharply across the curve during the quarter as markets adjusted to higher policy rates and expectations for a more restrictive interest rate environment. The 2-Month Treasury yield increased 33 basis points to 4.1%, while the 1-Year Treasury yield rose 56 basis points to 4.5%. Intermediate and long-term maturities also experienced significant increases, with the 5-Year Treasury yield rising 86 basis points to 5.1%, the 10-Year Treasury yield increasing 82 basis points to 5.3% and the 30-Year Treasury yield advancing 68 basis points to 5.6%. Notably, the 10-Year Treasury yield moved above 5% during the quarter and ended September at approximately 5.3%, its highest level in decades. The broad rise in yields represented one of the defining market developments of the quarter and contributed to weaker performance among several rate-sensitive sectors.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corporate credit markets, both U.S. and European high yield generated negative performance in the third quarter of 2026. According to J.P. Morgan data, U.S. high yield returned (1.7%) and the European market returned (1.0%) during the three-month period. In the United States, high yield bond spreads widened by 32 basis points during the quarter to 338 basis points. In Europe, high yield spreads widened by 11 basis points during the quarter to 362 basis points. The high yield default rate, measured on a trailing twelve-month basis, ended the quarter at 2.7% in the United States and 1.9% in Europe. Additionally, the J.P. Morgan U.S. Leveraged Loan Index returned 1.99%, and the J.P. Morgan European Leveraged Loan Index returned 1.08% for the third quarter of 2026. The U.S. Leveraged Loan Index ended the quarter at a yield of 9.49% and 490 basis point spread, while the European Leveraged Loan Index ended the quarter at a yield of 8.94% and 553 basis point spread.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a holding company and our only business is to act as the owner of the entities serving as the general partner of the TPG Operating Group partnerships and our only material assets are Common Units representing approximately 45% of the outstanding Common Units and 100% of the interests in certain intermediate holding companies as of September 30, 2026. In our capacity as the sole indirect owner of the entities serving as the general partner of the TPG Operating Group partnerships, we indirectly control all of the TPG Operating Group’s business and affairs.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We operate our business in a single operating and reportable segment, as our CEO, who is our CODM, manages the business on a consolidated basis.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collaboratively across product lines through shared investment themes and shared support functions that span across product lines.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consolidate the financial results of TPG Inc., TPG Operating Group and its consolidated subsidiaries, management companies, the general partners of funds and entities that meet the definition of a variable interest entity for which we are considered the primary beneficiary.</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When an entity is consolidated, we reflect the accounts of the consolidated entity, including its assets, liabilities, revenues, expenses, investment income, cash flows and other amounts, on a gross basis. While the consolidation of an entity does not impact the amounts of net income attributable to controlling interests, the consolidation does impact the financial statement presentation in accordance with U.S. GAAP. This is a result of the fact that the accounts of the consolidated entities being reflected on a gross basis, with intercompany transactions eliminated, while the allocable share of those amounts that are attributable to third parties are reflected as single line items. The single line items in which the accounts attributable to third parties are recorded are presented as non-controlling interests on the Condensed Consolidated Statements of Financial Condition and net income (loss) attributable to non-controlling interests on the Condensed Consolidated Statements of Operations.</w:t>
      </w:r>
    </w:p>
    <w:p>
      <w:pPr>
        <w:spacing w:after="0" w:line="18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are not required under U.S. GAAP to consolidate the majority of investment funds we advise in our Condensed Consolidated Financial Statements because we do not have a more than insignificant variable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Measures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key financial and operating measures are discussed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Fees and Other</w:t>
      </w:r>
      <w:r>
        <w:rPr>
          <w:rFonts w:ascii="Times New Roman" w:cs="Times New Roman" w:eastAsia="Times New Roman" w:hAnsi="Times New Roman"/>
          <w:sz w:val="18"/>
          <w:szCs w:val="18"/>
          <w:color w:val="auto"/>
        </w:rPr>
        <w:t>. Fees and other consists primarily of (i) management fees, (ii) monitoring fees, (iii) transaction fees, (iv) incentive fee income and</w:t>
      </w:r>
    </w:p>
    <w:p>
      <w:pPr>
        <w:spacing w:after="0" w:line="29" w:lineRule="exact"/>
        <w:rPr>
          <w:sz w:val="20"/>
          <w:szCs w:val="20"/>
          <w:color w:val="auto"/>
        </w:rPr>
      </w:pPr>
    </w:p>
    <w:p>
      <w:pPr>
        <w:jc w:val="both"/>
        <w:ind w:firstLine="8"/>
        <w:spacing w:after="0" w:line="253" w:lineRule="auto"/>
        <w:tabs>
          <w:tab w:leader="none" w:pos="29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reimbursements from unconsolidated funds, portfolio companies and third parties. These fee arrangements are documented within the contractual terms of the governing agreements and are recognized when earned, which generally coincides with the period during which the related services are performed and in the case of transaction fees, upon closing of the transaction. Management fees include catch-up fees resulting from additional capital commitments from limited partners in subsequent closings. Monitoring fees may provide for a termination payment following an initial public offering or change of control. These termination payments are recognized in the period in which the related transaction closes.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Capital Allocation-Based Income (Loss)</w:t>
      </w:r>
      <w:r>
        <w:rPr>
          <w:rFonts w:ascii="Times New Roman" w:cs="Times New Roman" w:eastAsia="Times New Roman" w:hAnsi="Times New Roman"/>
          <w:sz w:val="18"/>
          <w:szCs w:val="18"/>
          <w:color w:val="auto"/>
        </w:rPr>
        <w:t>. Capital allocation-based income (loss) is earned from our funds when we have (i) a general partner’s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capital interest and (ii) performance allocations which entitle us to a disproportionate allocation of investment income or loss from investment funds. We are entitled to a performance allocation (typically 20%) based on cumulative fund or account performance to date, irrespective of whether such amounts have been realized. These performance allocations are subject to the achievement of preferred returns or high water marks, where applicable, in accordance with the terms set forth in the respective fund’s governing documents. We account for our investment balances in the TPG funds, including performance allocations, under the equity method of accounting because we are presumed to have significant influence as the general partner or managing member; however, we do not have control as defined by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The Company accounts for its general partner interests in capital allocation-based arrangements as financial instruments under ASC Topic 323, </w:t>
      </w:r>
      <w:r>
        <w:rPr>
          <w:rFonts w:ascii="Times New Roman" w:cs="Times New Roman" w:eastAsia="Times New Roman" w:hAnsi="Times New Roman"/>
          <w:sz w:val="18"/>
          <w:szCs w:val="18"/>
          <w:i w:val="1"/>
          <w:iCs w:val="1"/>
          <w:color w:val="auto"/>
        </w:rPr>
        <w:t>Investments – Equity Method and Joint Ventures</w:t>
      </w:r>
      <w:r>
        <w:rPr>
          <w:rFonts w:ascii="Times New Roman" w:cs="Times New Roman" w:eastAsia="Times New Roman" w:hAnsi="Times New Roman"/>
          <w:sz w:val="18"/>
          <w:szCs w:val="18"/>
          <w:color w:val="auto"/>
        </w:rPr>
        <w:t xml:space="preserve"> as the general partner has significant governance rights in the TPG funds in which it invests which demonstrates significant influence. Accordingly, performance allocations are not deemed to be within the scope of ASC 606.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Compensation and Benefits</w:t>
      </w:r>
      <w:r>
        <w:rPr>
          <w:rFonts w:ascii="Times New Roman" w:cs="Times New Roman" w:eastAsia="Times New Roman" w:hAnsi="Times New Roman"/>
          <w:sz w:val="18"/>
          <w:szCs w:val="18"/>
          <w:color w:val="auto"/>
        </w:rPr>
        <w:t>. Compensation and benefits expense includes (i) cash-based compensation and benefits, (ii) equity-based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(iii) performance allocation compensation. Bonuses are accrued over the service period to which they relate. In addition, we have equity-based compensation arrangements that require certain TPG executives and employees to vest over a service period of generally one to five years, which under U.S. GAAP will result in compensation charges over current and future periods. In connection with our IPO and subsequent acquisitions, we granted RSUs to executives and employees. Distributions of performance allocations in the legal form of equity made directly or indirectly to our partners and professionals are allocated and distributed, when realized, pro rata based on ownership percentages in the underlying investment partnership. These distributions were accounted for as distributions on the equity held by such partners rather than as compensation and benefits expense prior to the Reorganization and IPO and are now accounted for as performance allocation compensation.</w:t>
      </w:r>
    </w:p>
    <w:p>
      <w:pPr>
        <w:spacing w:after="0" w:line="185"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General, Administrative and Other</w:t>
      </w:r>
      <w:r>
        <w:rPr>
          <w:rFonts w:ascii="Times New Roman" w:cs="Times New Roman" w:eastAsia="Times New Roman" w:hAnsi="Times New Roman"/>
          <w:sz w:val="18"/>
          <w:szCs w:val="18"/>
          <w:color w:val="auto"/>
        </w:rPr>
        <w:t>. General and administrative expenses include costs primarily related to professional services, occupancy, travel,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 and information services and other general operating items.</w:t>
      </w:r>
    </w:p>
    <w:p>
      <w:pPr>
        <w:spacing w:after="0" w:line="158"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of tenant improvements, furniture and equipment and intangible assets are expensed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straight-line basis over the useful life of the asset.</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includes interest paid and accrued on our outstanding debt and the amortization of deferred financing costs.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Net Gains (Losses) from Investment Activities</w:t>
      </w:r>
      <w:r>
        <w:rPr>
          <w:rFonts w:ascii="Times New Roman" w:cs="Times New Roman" w:eastAsia="Times New Roman" w:hAnsi="Times New Roman"/>
          <w:sz w:val="18"/>
          <w:szCs w:val="18"/>
          <w:color w:val="auto"/>
        </w:rPr>
        <w:t>. Realized gains (losses) may be recognized when we redeem all or a portion of an investment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when we receive a distribution of capital. Unrealized gains (losses) result from the appreciation (depreciation) in the fair value of our investments. Fluctuations in net gains (losses) from investment activities between reporting periods are primarily driven by changes in the fair value of our investment portfolio and, to a lesser extent, the gains (losses) on investments disposed of during the period. The fair value of, as well as the ability to recognize gains (losses) from, our investments is significantly impacted by the global financial markets. This impact affects the net gains (losses) from investment activities recognized in any given period. Upon the disposition of an investment, previously recognized unrealized gains (losses) are reversed and an offsetting realized gain (loss) is recognized in the period in which the investment is sold. Since our investments are carried at fair value, fluctuations between periods could be significant due to changes to the inputs to our valuation process over time.</w:t>
      </w:r>
    </w:p>
    <w:p>
      <w:pPr>
        <w:spacing w:after="0" w:line="185"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Interest, Dividends and Other</w:t>
      </w:r>
      <w:r>
        <w:rPr>
          <w:rFonts w:ascii="Times New Roman" w:cs="Times New Roman" w:eastAsia="Times New Roman" w:hAnsi="Times New Roman"/>
          <w:sz w:val="18"/>
          <w:szCs w:val="18"/>
          <w:color w:val="auto"/>
        </w:rPr>
        <w:t>. Interest income is recognized on an accrual basis to the extent that such amounts are expected to be collected using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effective interest method. Dividends and other investment income are recorded when the right to receive payment is established.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8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is treated as a corporation for U.S. federal and state income tax purposes. We are subject to U.S. federal and state income taxes, in addition to local and foreign income taxes, with respect to our allocable share of taxable income generated by the TPG Operating Group partnerships.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entities that are consolidated, but not 100% owned, a portion of the income or loss and corresponding equity is allocated to owners other than TPG. The aggregate of the income or loss and corresponding equity that is not owned by us is included in non-controlling interests in the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condensed consolidated results of operations for the periods presented: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6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8"/>
                <w:szCs w:val="18"/>
                <w:color w:val="auto"/>
              </w:rPr>
            </w:pPr>
          </w:p>
        </w:tc>
        <w:tc>
          <w:tcPr>
            <w:tcW w:w="2840" w:type="dxa"/>
            <w:vAlign w:val="bottom"/>
            <w:gridSpan w:val="4"/>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0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Fees and other</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712,743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596,499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2,037,734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1,709,028</w:t>
            </w: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allocation-based income</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1,524,808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1,469,902</w:t>
            </w:r>
          </w:p>
        </w:tc>
      </w:tr>
      <w:tr>
        <w:trPr>
          <w:trHeight w:val="223"/>
        </w:trPr>
        <w:tc>
          <w:tcPr>
            <w:tcW w:w="50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1,221,112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1,223,517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3,562,542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3,178,930</w:t>
            </w:r>
          </w:p>
        </w:tc>
      </w:tr>
      <w:tr>
        <w:trPr>
          <w:trHeight w:val="20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Cash-based compensation and benefits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713,588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646,157</w:t>
            </w:r>
          </w:p>
        </w:tc>
      </w:tr>
      <w:tr>
        <w:trPr>
          <w:trHeight w:val="229"/>
        </w:trPr>
        <w:tc>
          <w:tcPr>
            <w:tcW w:w="5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700,498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573,836</w:t>
            </w:r>
          </w:p>
        </w:tc>
      </w:tr>
      <w:tr>
        <w:trPr>
          <w:trHeight w:val="230"/>
        </w:trPr>
        <w:tc>
          <w:tcPr>
            <w:tcW w:w="5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Performance allocation compensation</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1,045,070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951,562</w:t>
            </w:r>
          </w:p>
        </w:tc>
      </w:tr>
      <w:tr>
        <w:trPr>
          <w:trHeight w:val="223"/>
        </w:trPr>
        <w:tc>
          <w:tcPr>
            <w:tcW w:w="5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compensation and benefits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2,459,156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2,171,555</w:t>
            </w:r>
          </w:p>
        </w:tc>
      </w:tr>
      <w:tr>
        <w:trPr>
          <w:trHeight w:val="230"/>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512,844</w:t>
            </w:r>
          </w:p>
        </w:tc>
      </w:tr>
      <w:tr>
        <w:trPr>
          <w:trHeight w:val="229"/>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103,225</w:t>
            </w: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81,690</w:t>
            </w:r>
          </w:p>
        </w:tc>
      </w:tr>
      <w:tr>
        <w:trPr>
          <w:trHeight w:val="223"/>
        </w:trPr>
        <w:tc>
          <w:tcPr>
            <w:tcW w:w="50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1,035,814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1,031,323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3,181,758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2,869,314</w:t>
            </w:r>
          </w:p>
        </w:tc>
      </w:tr>
      <w:tr>
        <w:trPr>
          <w:trHeight w:val="20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income (loss)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gains (losses) from investment activities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w:t>
            </w: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dividends and other</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54,700</w:t>
            </w:r>
          </w:p>
        </w:tc>
      </w:tr>
      <w:tr>
        <w:trPr>
          <w:trHeight w:val="223"/>
        </w:trPr>
        <w:tc>
          <w:tcPr>
            <w:tcW w:w="50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52,034</w:t>
            </w:r>
          </w:p>
        </w:tc>
      </w:tr>
      <w:tr>
        <w:trPr>
          <w:trHeight w:val="223"/>
        </w:trPr>
        <w:tc>
          <w:tcPr>
            <w:tcW w:w="50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361,650</w:t>
            </w:r>
          </w:p>
        </w:tc>
      </w:tr>
      <w:tr>
        <w:trPr>
          <w:trHeight w:val="229"/>
        </w:trPr>
        <w:tc>
          <w:tcPr>
            <w:tcW w:w="5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44,481</w:t>
            </w:r>
          </w:p>
        </w:tc>
      </w:tr>
      <w:tr>
        <w:trPr>
          <w:trHeight w:val="223"/>
        </w:trPr>
        <w:tc>
          <w:tcPr>
            <w:tcW w:w="5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317,169</w:t>
            </w:r>
          </w:p>
        </w:tc>
      </w:tr>
      <w:tr>
        <w:trPr>
          <w:trHeight w:val="230"/>
        </w:trPr>
        <w:tc>
          <w:tcPr>
            <w:tcW w:w="5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209,695</w:t>
            </w:r>
          </w:p>
        </w:tc>
      </w:tr>
      <w:tr>
        <w:trPr>
          <w:trHeight w:val="248"/>
        </w:trPr>
        <w:tc>
          <w:tcPr>
            <w:tcW w:w="50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Net income attributable to TPG Inc.</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107,474</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data:</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available to Class A common stock per share</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r>
      <w:tr>
        <w:trPr>
          <w:trHeight w:val="23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3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171,184,988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150,527,419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165,205,826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133,901,421</w:t>
            </w:r>
          </w:p>
        </w:tc>
      </w:tr>
      <w:tr>
        <w:trPr>
          <w:trHeight w:val="22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385,665,619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378,345,947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384,955,522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372,649,226</w:t>
            </w:r>
          </w:p>
        </w:tc>
      </w:tr>
      <w:tr>
        <w:trPr>
          <w:trHeight w:val="905"/>
        </w:trPr>
        <w:tc>
          <w:tcPr>
            <w:tcW w:w="5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2026 Compared to Three Months Ended September 30,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Revenues consisted of the following for the three months ended September 30,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0" w:type="dxa"/>
            <w:vAlign w:val="bottom"/>
            <w:tcBorders>
              <w:bottom w:val="single" w:sz="8" w:color="auto"/>
            </w:tcBorders>
          </w:tcPr>
          <w:p>
            <w:pPr>
              <w:spacing w:after="0"/>
              <w:rPr>
                <w:sz w:val="18"/>
                <w:szCs w:val="18"/>
                <w:color w:val="auto"/>
              </w:rPr>
            </w:pPr>
          </w:p>
        </w:tc>
      </w:tr>
      <w:tr>
        <w:trPr>
          <w:trHeight w:val="211"/>
        </w:trPr>
        <w:tc>
          <w:tcPr>
            <w:tcW w:w="49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72"/>
        </w:trPr>
        <w:tc>
          <w:tcPr>
            <w:tcW w:w="49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90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600" w:type="dxa"/>
            <w:vAlign w:val="bottom"/>
            <w:tcBorders>
              <w:bottom w:val="single" w:sz="8" w:color="auto"/>
            </w:tcBorders>
          </w:tcPr>
          <w:p>
            <w:pPr>
              <w:spacing w:after="0"/>
              <w:rPr>
                <w:sz w:val="23"/>
                <w:szCs w:val="23"/>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7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monitoring and other fees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25,812</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7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reimbursements and other</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(11,713)</w:t>
            </w:r>
          </w:p>
        </w:tc>
        <w:tc>
          <w:tcPr>
            <w:tcW w:w="100" w:type="dxa"/>
            <w:vAlign w:val="bottom"/>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fees and other</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116,244</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allocations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592,932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(111,035)</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 interests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(7,614)</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capital allocation-based income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627,018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(118,649)</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7"/>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1,221,112</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1,223,517</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4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Fees and other revenues increased $116.2 million, or 19%, during the three months ended September 30, 2026 compared to the three months ended September 30, 2025. This change resulted primarily from a $102.1 million increase in management fees and a $25.8 million increase in transaction, monitoring and other fees.</w:t>
      </w:r>
    </w:p>
    <w:p>
      <w:pPr>
        <w:spacing w:after="0" w:line="174"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Management Fees</w:t>
      </w:r>
      <w:r>
        <w:rPr>
          <w:rFonts w:ascii="Times New Roman" w:cs="Times New Roman" w:eastAsia="Times New Roman" w:hAnsi="Times New Roman"/>
          <w:sz w:val="18"/>
          <w:szCs w:val="18"/>
          <w:color w:val="auto"/>
        </w:rPr>
        <w:t>. The $102.1 million increase in management fees during the three months ended September 30, 2026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2025 is attributable to:</w:t>
      </w:r>
    </w:p>
    <w:p>
      <w:pPr>
        <w:spacing w:after="0" w:line="160" w:lineRule="exact"/>
        <w:rPr>
          <w:sz w:val="20"/>
          <w:szCs w:val="20"/>
          <w:color w:val="auto"/>
        </w:rPr>
      </w:pPr>
    </w:p>
    <w:p>
      <w:pPr>
        <w:jc w:val="both"/>
        <w:ind w:left="980" w:hanging="486"/>
        <w:spacing w:after="0" w:line="266"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$31.5 million from our Capital platform primarily driven by management fees, including catch-up fees, earned from TPG X following its activation in the third quarter of 2025, partially offset by a step-down in the fee basis of TPG IX from committed to invested capital in the fourth quarter of 2025;</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$8.4 million from our Growth platform primarily driven by management fees earned from TECA resulting from new capital raised during the three months ended September 30, 2026 and fees earned from TPG Sports following its activation in the first quarter of 2026;</w:t>
      </w:r>
    </w:p>
    <w:p>
      <w:pPr>
        <w:spacing w:after="0" w:line="17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$34.9 million from our Impact platform primarily driven by catch-up fees earned from Rise Climate II and fees earned from Rise Climate Global South resulting from new capital raised during the three months ended September 30, 2026;</w:t>
      </w:r>
    </w:p>
    <w:p>
      <w:pPr>
        <w:spacing w:after="0" w:line="16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$13.0 million from our Credit platform primarily driven by a higher fee basis across MMDL V and ABC Fund II resulting from new investments;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$1.6 million from our Real Estate platform; and</w:t>
      </w:r>
    </w:p>
    <w:p>
      <w:pPr>
        <w:spacing w:after="0" w:line="22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$17.3 million from our Market Solutions platform primarily driven by management fees from TGS II following its activation in the third quarter of 2025 and higher management fees from T-POP resulting from additional subscriptions during the three months ended September 30, 2026.</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Catch-up management fees totaled $62.4 million during the three months ended September 30, 2026 and primarily consisted of $21.1 million for TPG X, $20.1 million for Rise Climate II and $5.5 million for Rise Climate Global South.</w:t>
      </w:r>
    </w:p>
    <w:p>
      <w:pPr>
        <w:spacing w:after="0" w:line="160"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Transaction, Monitoring and Other Fees</w:t>
      </w:r>
      <w:r>
        <w:rPr>
          <w:rFonts w:ascii="Times New Roman" w:cs="Times New Roman" w:eastAsia="Times New Roman" w:hAnsi="Times New Roman"/>
          <w:sz w:val="18"/>
          <w:szCs w:val="18"/>
          <w:color w:val="auto"/>
        </w:rPr>
        <w:t>. Transaction, monitoring and other fees increased $25.8 million, or 55%,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compared to the three months ended September 30, 2025, primarily driven by capital markets activity among our portfolio companies involving our broker-dealer.</w:t>
      </w:r>
    </w:p>
    <w:p>
      <w:pPr>
        <w:spacing w:after="0" w:line="173"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Expense Reimbursements and Other</w:t>
      </w:r>
      <w:r>
        <w:rPr>
          <w:rFonts w:ascii="Times New Roman" w:cs="Times New Roman" w:eastAsia="Times New Roman" w:hAnsi="Times New Roman"/>
          <w:sz w:val="18"/>
          <w:szCs w:val="18"/>
          <w:color w:val="auto"/>
        </w:rPr>
        <w:t>. Expense reimbursements and other decreased $11.7 million, or 15%, for the three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compared to the three months ended September 30, 2025, primarily driven by lower reimbursable expenses from TPG funds.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Performance Allocations. </w:t>
      </w:r>
      <w:r>
        <w:rPr>
          <w:rFonts w:ascii="Times New Roman" w:cs="Times New Roman" w:eastAsia="Times New Roman" w:hAnsi="Times New Roman"/>
          <w:sz w:val="18"/>
          <w:szCs w:val="18"/>
          <w:color w:val="auto"/>
        </w:rPr>
        <w:t>Performance allocations decreased $111.0 million for the three months ended September 30, 2026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2025. Realized performance allocation gains for the three months ended September 30, 2026 and 2025 totaled $37.0 million and $278.3 million, respectively. Unrealized performance allocation gains for the three months ended September 30, 2026 and 2025 totaled $444.9 million and $314.7 million, respectively.</w:t>
      </w:r>
    </w:p>
    <w:p>
      <w:pPr>
        <w:spacing w:after="0" w:line="18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table below highlights performance allocations for the three months ended September 30, 2026 and 2025, and separates the entities listed into two categories to reflect the Reorganization: (i) TPG general partner entities from which the TPG Operating Group Common Unit holders are expected to receive a 20% performance allocation and (ii) TPG general partner entities from which the TPG Operating Group Common Unit holders are not expected to receive any performance allocation.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0" w:type="dxa"/>
            <w:vAlign w:val="bottom"/>
            <w:tcBorders>
              <w:bottom w:val="single" w:sz="8" w:color="auto"/>
            </w:tcBorders>
          </w:tcPr>
          <w:p>
            <w:pPr>
              <w:spacing w:after="0"/>
              <w:rPr>
                <w:sz w:val="18"/>
                <w:szCs w:val="18"/>
                <w:color w:val="auto"/>
              </w:rPr>
            </w:pPr>
          </w:p>
        </w:tc>
      </w:tr>
      <w:tr>
        <w:trPr>
          <w:trHeight w:val="211"/>
        </w:trPr>
        <w:tc>
          <w:tcPr>
            <w:tcW w:w="49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72"/>
        </w:trPr>
        <w:tc>
          <w:tcPr>
            <w:tcW w:w="496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90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600" w:type="dxa"/>
            <w:vAlign w:val="bottom"/>
            <w:tcBorders>
              <w:bottom w:val="single" w:sz="8" w:color="auto"/>
            </w:tcBorders>
          </w:tcPr>
          <w:p>
            <w:pPr>
              <w:spacing w:after="0"/>
              <w:rPr>
                <w:sz w:val="23"/>
                <w:szCs w:val="23"/>
                <w:color w:val="auto"/>
              </w:rPr>
            </w:pPr>
          </w:p>
        </w:tc>
      </w:tr>
      <w:tr>
        <w:trPr>
          <w:trHeight w:val="21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TPG Operating Group Shared:</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70"/>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w:t>
            </w:r>
            <w:r>
              <w:rPr>
                <w:rFonts w:ascii="Times New Roman" w:cs="Times New Roman" w:eastAsia="Times New Roman" w:hAnsi="Times New Roman"/>
                <w:sz w:val="23"/>
                <w:szCs w:val="23"/>
                <w:color w:val="auto"/>
                <w:vertAlign w:val="superscript"/>
              </w:rPr>
              <w:t>(1)</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289,545</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309,411</w:t>
            </w:r>
          </w:p>
        </w:tc>
        <w:tc>
          <w:tcPr>
            <w:tcW w:w="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(19,866)</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49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Growth</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Impact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(83,180)</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125,607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(43,110)</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 Solutions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TPG Operating Group Shared: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479,699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605,654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(125,955)</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TPG Operating Group Excluded:</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149 %</w:t>
            </w:r>
          </w:p>
        </w:tc>
      </w:tr>
      <w:tr>
        <w:trPr>
          <w:trHeight w:val="22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Growth</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30"/>
        </w:trPr>
        <w:tc>
          <w:tcPr>
            <w:tcW w:w="4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49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Total TPG Operating Group Excluded</w:t>
            </w:r>
            <w:r>
              <w:rPr>
                <w:rFonts w:ascii="Times New Roman" w:cs="Times New Roman" w:eastAsia="Times New Roman" w:hAnsi="Times New Roman"/>
                <w:sz w:val="23"/>
                <w:szCs w:val="23"/>
                <w:b w:val="1"/>
                <w:bCs w:val="1"/>
                <w:color w:val="auto"/>
                <w:vertAlign w:val="superscript"/>
              </w:rPr>
              <w:t>(2)</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14,920</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Performance Allocations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481,897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592,932</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(111,035)</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4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9" w:lineRule="exact"/>
        <w:rPr>
          <w:sz w:val="20"/>
          <w:szCs w:val="20"/>
          <w:color w:val="auto"/>
        </w:rPr>
      </w:pPr>
    </w:p>
    <w:p>
      <w:pPr>
        <w:jc w:val="both"/>
        <w:ind w:left="500" w:hanging="492"/>
        <w:spacing w:after="0" w:line="271" w:lineRule="auto"/>
        <w:tabs>
          <w:tab w:leader="none" w:pos="49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Reorganization, we retained an economic interest in performance allocations from the Growth III and Asia VI general partner entities, which entitles us to a performance allocation equal to 10%; however, we allocate the full amount as performance allocation compensation expense. As such, net income available to controlling interest holders is zero for each of these funds following the Reorganization.</w:t>
      </w:r>
    </w:p>
    <w:p>
      <w:pPr>
        <w:spacing w:after="0" w:line="21" w:lineRule="exact"/>
        <w:rPr>
          <w:rFonts w:ascii="Times New Roman" w:cs="Times New Roman" w:eastAsia="Times New Roman" w:hAnsi="Times New Roman"/>
          <w:sz w:val="14"/>
          <w:szCs w:val="14"/>
          <w:color w:val="auto"/>
        </w:rPr>
      </w:pPr>
    </w:p>
    <w:p>
      <w:pPr>
        <w:jc w:val="both"/>
        <w:ind w:left="500" w:hanging="492"/>
        <w:spacing w:after="0" w:line="281" w:lineRule="auto"/>
        <w:tabs>
          <w:tab w:leader="none" w:pos="49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TPG Operating Group Excluded entities’ performance allocations are not a component of net income attributable to TPG following the Reorganization; however, the TPG general partner entities continue to be consolidated by us. We transferred the rights to the performance allocations the TPG Operating Group historically would have received to RemainCo on December 31, 2021. As such, net income available to controlling interest holders is zero for each of the TPG Operating Group Excluded entities following January 1, 2022.</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$111.0 million decrease in performance allocation during the three months ended September 30, 2026 compared to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is attributable to:</w:t>
      </w:r>
    </w:p>
    <w:p>
      <w:pPr>
        <w:spacing w:after="0" w:line="207" w:lineRule="exact"/>
        <w:rPr>
          <w:sz w:val="20"/>
          <w:szCs w:val="20"/>
          <w:color w:val="auto"/>
        </w:rPr>
      </w:pPr>
    </w:p>
    <w:p>
      <w:pPr>
        <w:jc w:val="both"/>
        <w:ind w:left="980" w:hanging="486"/>
        <w:spacing w:after="0" w:line="273"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of $289.5 million from our Capital platform for the three months ended September 30, 2026 was primarily driven by income of $94.7 million from TPG IX, $60.7 million from TPG VIII, $57.3 million from TPG X, $47.8 million from Asia VIII and $21.7 million from THP I.</w:t>
      </w:r>
    </w:p>
    <w:p>
      <w:pPr>
        <w:spacing w:after="0" w:line="1" w:lineRule="exact"/>
        <w:rPr>
          <w:rFonts w:ascii="Times New Roman" w:cs="Times New Roman" w:eastAsia="Times New Roman" w:hAnsi="Times New Roman"/>
          <w:sz w:val="18"/>
          <w:szCs w:val="18"/>
          <w:color w:val="auto"/>
        </w:rPr>
      </w:pPr>
    </w:p>
    <w:p>
      <w:pPr>
        <w:jc w:val="both"/>
        <w:ind w:left="98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allocation income of $309.4 million for the three months ended September 30, 2025 was largely driven by income of $190.0 million from TPG IX, $52.2 million from TPG X, $38.4 million from Asia VIII and $37.1 million from Asia VII, partially offset by losses of $29.7 million from TPG VII and $19.5 million from TPG VIII;</w:t>
      </w:r>
    </w:p>
    <w:p>
      <w:pPr>
        <w:spacing w:after="0" w:line="168" w:lineRule="exact"/>
        <w:rPr>
          <w:rFonts w:ascii="Times New Roman" w:cs="Times New Roman" w:eastAsia="Times New Roman" w:hAnsi="Times New Roman"/>
          <w:sz w:val="18"/>
          <w:szCs w:val="18"/>
          <w:color w:val="auto"/>
        </w:rPr>
      </w:pPr>
    </w:p>
    <w:p>
      <w:pPr>
        <w:jc w:val="both"/>
        <w:ind w:left="980" w:hanging="486"/>
        <w:spacing w:after="0" w:line="273"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of $75.0 million from our Growth platform for the three months ended September 30, 2026 was primarily driven by income of $47.9 million from TTAD III, $39.4 million from Growth VI and $35.2 million from TTAD II, partially offset by losses of $43.0 million from</w:t>
      </w:r>
    </w:p>
    <w:p>
      <w:pPr>
        <w:spacing w:after="0" w:line="1"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IV. Performance allocation income of $15.5 million for the three months ended September 30, 2025 was primarily driven by income of $29.8 million from TTAD II, $13.6 million from Growth III and $5.9 million from Growth IV, partially offset by losses of $28.4 million from TTAD;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80" w:hanging="486"/>
        <w:spacing w:after="0" w:line="273"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of $27.1 million from our Impact platform for the three months ended September 30, 2026 were primarily driven by losses of $83.2 million from Rise II and $25.2 million from Rise I, partially offset by gains of $73.8 million from Rise Climate I. Performance allocation</w:t>
      </w:r>
    </w:p>
    <w:p>
      <w:pPr>
        <w:spacing w:after="0" w:line="1" w:lineRule="exact"/>
        <w:rPr>
          <w:rFonts w:ascii="Times New Roman" w:cs="Times New Roman" w:eastAsia="Times New Roman" w:hAnsi="Times New Roman"/>
          <w:sz w:val="18"/>
          <w:szCs w:val="18"/>
          <w:color w:val="auto"/>
        </w:rPr>
      </w:pPr>
    </w:p>
    <w:p>
      <w:pPr>
        <w:ind w:left="98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of $56.1 million for the three months ended September 30, 2025 was primarily driven by income of $25.6 million from Rise Climate I and $22.8 million from Rise III;</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58"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of $88.3 million from our Credit platform for the three months ended September 30, 2026 was primarily driven by income of $12.9 million from Credit Solutions II, $11.7 million from Credit Solutions III, $11.5 million from MMDL V and $7.5 million from ABC Fund II. Performance allocation income of $125.6 million for the three months ended September 30, 2025 was primarily driven by income of $32.6 million from Credit Solutions II, $19.1 million from MVP, $10.5 million from Credit Solutions III, $8.5 million from ABC Fund I, $6.9 million from MMDL V and $6.6 million from Credit Solutions I;</w:t>
      </w:r>
    </w:p>
    <w:p>
      <w:pPr>
        <w:spacing w:after="0" w:line="183" w:lineRule="exact"/>
        <w:rPr>
          <w:rFonts w:ascii="Times New Roman" w:cs="Times New Roman" w:eastAsia="Times New Roman" w:hAnsi="Times New Roman"/>
          <w:sz w:val="18"/>
          <w:szCs w:val="18"/>
          <w:color w:val="auto"/>
        </w:rPr>
      </w:pPr>
    </w:p>
    <w:p>
      <w:pPr>
        <w:jc w:val="both"/>
        <w:ind w:left="980" w:hanging="486"/>
        <w:spacing w:after="0" w:line="273"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of $23.3 million from our Real Estate platform for the three months ended September 30, 2026 was primarily driven by income of $17.6 million from TREP IV, $15.0 million from Realty XI and $13.3 million from Net Lease IV, partially offset by losses of $23.1 million</w:t>
      </w:r>
    </w:p>
    <w:p>
      <w:pPr>
        <w:spacing w:after="0" w:line="1"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TREP III. Performance allocation income of $66.4 million for the three months ended September 30, 2025 was primarily driven by income of $40.3 million from TREP III, $14.1 million from Asia Realty V, $9.4 million from Net Lease IV and $4.2 million from Net Lease III, which was partially offset by losses of $3.1 million from Realty X; and</w:t>
      </w:r>
    </w:p>
    <w:p>
      <w:pPr>
        <w:spacing w:after="0" w:line="17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of $30.7 million from our Market Solutions platform for the three months ended September 30, 2026 was primarily driven by income</w:t>
      </w:r>
    </w:p>
    <w:p>
      <w:pPr>
        <w:spacing w:after="0" w:line="49" w:lineRule="exact"/>
        <w:rPr>
          <w:rFonts w:ascii="Times New Roman" w:cs="Times New Roman" w:eastAsia="Times New Roman" w:hAnsi="Times New Roman"/>
          <w:sz w:val="18"/>
          <w:szCs w:val="18"/>
          <w:color w:val="auto"/>
        </w:rPr>
      </w:pPr>
    </w:p>
    <w:p>
      <w:pPr>
        <w:ind w:left="98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$7.4 million from the T-POP strategy and $11.8 million from Peppertree Fund IX. Performance allocation income of $32.7 million for the three months ended September 30, 2025 was primarily driven by income of $33.2 million from NewQuest IV.</w:t>
      </w:r>
    </w:p>
    <w:p>
      <w:pPr>
        <w:spacing w:after="0" w:line="149" w:lineRule="exact"/>
        <w:rPr>
          <w:rFonts w:ascii="Times New Roman" w:cs="Times New Roman" w:eastAsia="Times New Roman" w:hAnsi="Times New Roman"/>
          <w:sz w:val="18"/>
          <w:szCs w:val="18"/>
          <w:color w:val="auto"/>
        </w:rPr>
      </w:pPr>
    </w:p>
    <w:p>
      <w:pPr>
        <w:jc w:val="both"/>
        <w:ind w:left="980" w:hanging="486"/>
        <w:spacing w:after="0" w:line="258"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TPG Operating Group Excluded entities generated income of $2.2 million during the three months ended September 30, 2026 compared to a loss of $12.7 million during the three months ended September 30, 2025. Performance allocation income for the three months ended September 30, 2026 was primarily driven by gains of $2.4 million from Asia V from our Capital platform. Performance allocation losses for the three months ended September 30, 2025 were primarily driven by losses of $6.4 million from Biotech III and $3.8 million from Biotech V from our Growth platform and $4.4 million from Asia V from our Capital platform.</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September 30, 2026, accrued performance allocations presented as investments in the Condensed Consolidated Statements of Financial Condition for Common Unit holders of TPG Operating Group shared TPG general partner entities totaled $8.0 billion. As of September 30, 2026, accrued performance allocations presented as investments in the Condensed Consolidated Statements of Financial Condition for Common Unit holders of TPG Operating Group excluded TPG general partner entities totaled $0.2 billion.</w:t>
      </w:r>
    </w:p>
    <w:p>
      <w:pPr>
        <w:spacing w:after="0" w:line="17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Capital Interests. </w:t>
      </w:r>
      <w:r>
        <w:rPr>
          <w:rFonts w:ascii="Times New Roman" w:cs="Times New Roman" w:eastAsia="Times New Roman" w:hAnsi="Times New Roman"/>
          <w:sz w:val="18"/>
          <w:szCs w:val="18"/>
          <w:color w:val="auto"/>
        </w:rPr>
        <w:t>Capital interests income decreased $7.6 million for the three months ended September 30, 2026 compared to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2025. This change was primarily attributable to losses from our investments in TPG VII and Asia VII, which were partially offset by gains on our investments in TPG X and TPG IX during the three months ended September 30, 2026. During the three months ended September 30, 2025, we recognized gains on our investments in TPG IX and Asia VI, which were partially offset by losses on our investments in TPG VII, TPG VIII and Growth IV.</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7"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Cash-Based Compensation and Benefits. </w:t>
      </w:r>
      <w:r>
        <w:rPr>
          <w:rFonts w:ascii="Times New Roman" w:cs="Times New Roman" w:eastAsia="Times New Roman" w:hAnsi="Times New Roman"/>
          <w:sz w:val="18"/>
          <w:szCs w:val="18"/>
          <w:color w:val="auto"/>
        </w:rPr>
        <w:t>Cash-based compensation and benefits expense increased $25.4 million, or 12%,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2026 compared to the three months ended September 30, 2025, primarily driven by higher salary and benefit costs resulting from an increase in headcount to support our growth.</w:t>
      </w:r>
    </w:p>
    <w:p>
      <w:pPr>
        <w:spacing w:after="0" w:line="17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Equity-Based Compensation. </w:t>
      </w:r>
      <w:r>
        <w:rPr>
          <w:rFonts w:ascii="Times New Roman" w:cs="Times New Roman" w:eastAsia="Times New Roman" w:hAnsi="Times New Roman"/>
          <w:sz w:val="18"/>
          <w:szCs w:val="18"/>
          <w:color w:val="auto"/>
        </w:rPr>
        <w:t>Equity-based compensation expense increased $55.3 million, or 35%, for the three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September 30, 2025, primarily driven by the reversal of equity-based compensation expense during the three months ended September 30, 2025 related to liability-classified performance awards that were no longer probable of vesting, as described in Note 14 to the Condensed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Performance Allocation Compensation. </w:t>
      </w:r>
      <w:r>
        <w:rPr>
          <w:rFonts w:ascii="Times New Roman" w:cs="Times New Roman" w:eastAsia="Times New Roman" w:hAnsi="Times New Roman"/>
          <w:sz w:val="18"/>
          <w:szCs w:val="18"/>
          <w:color w:val="auto"/>
        </w:rPr>
        <w:t>Performance allocation compensation decreased $84.9 million, or 20%,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compared to the three months ended September 30, 2025, primarily driven by lower performance allocations and the related compensation attributable to our partners and professionals.</w:t>
      </w:r>
    </w:p>
    <w:p>
      <w:pPr>
        <w:spacing w:after="0" w:line="173"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Administrative and Other. </w:t>
      </w:r>
      <w:r>
        <w:rPr>
          <w:rFonts w:ascii="Times New Roman" w:cs="Times New Roman" w:eastAsia="Times New Roman" w:hAnsi="Times New Roman"/>
          <w:sz w:val="18"/>
          <w:szCs w:val="18"/>
          <w:color w:val="auto"/>
        </w:rPr>
        <w:t>General, administrative and other increased $6.2 million, or 4%, for the three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September 30, 2025, primarily driven by higher professional expenses.</w:t>
      </w:r>
    </w:p>
    <w:p>
      <w:pPr>
        <w:spacing w:after="0" w:line="199"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decreased $0.7 million, or 2%, for the three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September 30, 2025.</w:t>
      </w:r>
    </w:p>
    <w:p>
      <w:pPr>
        <w:spacing w:after="0" w:line="158"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$3.2 million, or 10%, for the three months ended September 30, 2026 compared to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2025, primarily driven by higher outstanding principal balances on our debt obligations.</w:t>
      </w:r>
    </w:p>
    <w:p>
      <w:pPr>
        <w:spacing w:after="0" w:line="158"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Gains from Investment Activities. </w:t>
      </w:r>
      <w:r>
        <w:rPr>
          <w:rFonts w:ascii="Times New Roman" w:cs="Times New Roman" w:eastAsia="Times New Roman" w:hAnsi="Times New Roman"/>
          <w:sz w:val="18"/>
          <w:szCs w:val="18"/>
          <w:color w:val="auto"/>
        </w:rPr>
        <w:t>Net gains from investment activities were $121.0 million and $0.2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and 2025, respectively. This change was primarily driven by an increase in the fair value of common stock held in Jackson during the three months ended September 30, 2026.</w:t>
      </w:r>
    </w:p>
    <w:p>
      <w:pPr>
        <w:spacing w:after="0" w:line="173"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Dividends and Other. </w:t>
      </w:r>
      <w:r>
        <w:rPr>
          <w:rFonts w:ascii="Times New Roman" w:cs="Times New Roman" w:eastAsia="Times New Roman" w:hAnsi="Times New Roman"/>
          <w:sz w:val="18"/>
          <w:szCs w:val="18"/>
          <w:color w:val="auto"/>
        </w:rPr>
        <w:t>Interest, dividends and other decreased $20.1 million, or 56%, for the three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September 30, 2025, primarily driven by changes in the fair value of contingent liabilities related to acquisitions.</w:t>
      </w:r>
    </w:p>
    <w:p>
      <w:pPr>
        <w:spacing w:after="0" w:line="158"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increased $29.1 million for the three months ended September 30, 2026 compared to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2025, primarily due to an increase in net income attributable to TPG Inc. for the period ended September 30, 2026.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2026 Compared to Nine Months Ended September 30,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Revenues consisted of the following for the nine months ended September 30,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600" w:type="dxa"/>
            <w:vAlign w:val="bottom"/>
            <w:tcBorders>
              <w:bottom w:val="single" w:sz="8" w:color="auto"/>
            </w:tcBorders>
          </w:tcPr>
          <w:p>
            <w:pPr>
              <w:spacing w:after="0"/>
              <w:rPr>
                <w:sz w:val="18"/>
                <w:szCs w:val="18"/>
                <w:color w:val="auto"/>
              </w:rPr>
            </w:pPr>
          </w:p>
        </w:tc>
      </w:tr>
      <w:tr>
        <w:trPr>
          <w:trHeight w:val="211"/>
        </w:trPr>
        <w:tc>
          <w:tcPr>
            <w:tcW w:w="49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72"/>
        </w:trPr>
        <w:tc>
          <w:tcPr>
            <w:tcW w:w="49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88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600" w:type="dxa"/>
            <w:vAlign w:val="bottom"/>
            <w:tcBorders>
              <w:bottom w:val="single" w:sz="8" w:color="auto"/>
            </w:tcBorders>
          </w:tcPr>
          <w:p>
            <w:pPr>
              <w:spacing w:after="0"/>
              <w:rPr>
                <w:sz w:val="23"/>
                <w:szCs w:val="23"/>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1,574,800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1,342,004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232,796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monitoring and other fees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113,470</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reimbursements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194,149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(17,560)</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fees and other</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2,037,734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1,709,028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328,706</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allocations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1,456,621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1,379,281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 interests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68,187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(22,434)</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capital allocation-based income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1,524,808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1,469,902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54,906</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7"/>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3,562,542</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3,178,930</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383,612</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7"/>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4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Fees and other revenues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Fees and other revenues increased $328.7 million, or 19%, during the nine months ended September 30, 2026 compared to the nine months ended September 30, 2025. This change resulted from a $232.8 million increase in management fees and a $113.5 million increase in transaction, monitoring and other fees, partially offset by a $17.6 million decrease in expense reimbursements and other.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Management Fees</w:t>
      </w:r>
      <w:r>
        <w:rPr>
          <w:rFonts w:ascii="Times New Roman" w:cs="Times New Roman" w:eastAsia="Times New Roman" w:hAnsi="Times New Roman"/>
          <w:sz w:val="18"/>
          <w:szCs w:val="18"/>
          <w:color w:val="auto"/>
        </w:rPr>
        <w:t>. The $232.8 million increase in management fees during the nine months ended September 30, 2026 compared to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2025 is attributable to:</w:t>
      </w:r>
    </w:p>
    <w:p>
      <w:pPr>
        <w:spacing w:after="0" w:line="160" w:lineRule="exact"/>
        <w:rPr>
          <w:sz w:val="20"/>
          <w:szCs w:val="20"/>
          <w:color w:val="auto"/>
        </w:rPr>
      </w:pPr>
    </w:p>
    <w:p>
      <w:pPr>
        <w:ind w:left="980" w:hanging="486"/>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$92.7 million from our Capital platform primarily driven by fees earned from TPG X following its activation in the third quarter of 2025, partially offset by a step-down in fee basis of TPG IX from committed to invested capital in the fourth quarter of 2025;</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$20.7 million from our Growth platform primarily driven by catch-up fees earned from Growth VI during the nine months ended September 30, 2025, partially offset by fees earned from TECA resulting from new capital raised during the nine months ended September 30, 2026 and fees earned from TPG Sports following its activation in the first quarter of 2026;</w:t>
      </w:r>
    </w:p>
    <w:p>
      <w:pPr>
        <w:spacing w:after="0" w:line="17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$63.6 million from our Impact platform driven by higher management fees, including catch-up fees from Rise Climate II and Rise Climate TI, as well as fees earned from Rise IV following its activation in the first quarter of 2026;</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$45.2 million from our Credit platform primarily driven by higher fee bases across MMDL V, Credit Solutions III, ABC Fund II and ABC Evergreen resulting from new investments, partially offset by lower fee bases for MMDL IV and MMDL III resulting from the realization of portfolio investments;</w:t>
      </w:r>
    </w:p>
    <w:p>
      <w:pPr>
        <w:spacing w:after="0" w:line="17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$12.9 million from our Real Estate platform primarily driven by catch-up fees earned from Europe Realty IV during the nine months ended September 30, 2025; and</w:t>
      </w:r>
    </w:p>
    <w:p>
      <w:pPr>
        <w:spacing w:after="0" w:line="202"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$67.1 million from our Market Solutions platform primarily driven by additional management fees from TPG Peppertree following its acquisition in July 2025, TGS II following its activation in the third quarter of 2025 and T-POP following its launch in June 2025.</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Catch-up fees totaled $69.4 million during the nine months ended September 30, 2026 and primarily consisted of $28.4 million for Rise Climate II, $20.3 million for TPG X and $6.7 million for Rise Climate TI.</w:t>
      </w:r>
    </w:p>
    <w:p>
      <w:pPr>
        <w:spacing w:after="0" w:line="160"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Transaction, Monitoring and Other Fees</w:t>
      </w:r>
      <w:r>
        <w:rPr>
          <w:rFonts w:ascii="Times New Roman" w:cs="Times New Roman" w:eastAsia="Times New Roman" w:hAnsi="Times New Roman"/>
          <w:sz w:val="18"/>
          <w:szCs w:val="18"/>
          <w:color w:val="auto"/>
        </w:rPr>
        <w:t>. Transaction, monitoring and other fees increased $113.5 million for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compared to the nine months ended September 30, 2025, primarily driven by capital markets activity among our portfolio companies involving our broker-dealer.</w:t>
      </w:r>
    </w:p>
    <w:p>
      <w:pPr>
        <w:spacing w:after="0" w:line="173"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Expense Reimbursements and Other</w:t>
      </w:r>
      <w:r>
        <w:rPr>
          <w:rFonts w:ascii="Times New Roman" w:cs="Times New Roman" w:eastAsia="Times New Roman" w:hAnsi="Times New Roman"/>
          <w:sz w:val="18"/>
          <w:szCs w:val="18"/>
          <w:color w:val="auto"/>
        </w:rPr>
        <w:t>. Expense reimbursements and other decreased by $17.6 million, or 8%, for the nine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2026 compared to the nine months ended September 30, 2025, primarily driven by lower reimbursements from TPG funds.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Capital allocation-based income</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Capital allocation-based income increased $54.9 million, or 4%, during the nine months ended September 30, 2026 compared to the nine months ended September 30, 2025. This change resulted from a $77.3 million increase in performance allocations, which was partially offset by a $22.4 million decrease in capital interests income.</w:t>
      </w:r>
    </w:p>
    <w:p>
      <w:pPr>
        <w:spacing w:after="0" w:line="17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Performance Allocations. </w:t>
      </w:r>
      <w:r>
        <w:rPr>
          <w:rFonts w:ascii="Times New Roman" w:cs="Times New Roman" w:eastAsia="Times New Roman" w:hAnsi="Times New Roman"/>
          <w:sz w:val="18"/>
          <w:szCs w:val="18"/>
          <w:color w:val="auto"/>
        </w:rPr>
        <w:t>Performance allocations increased $77.3 million, or 6%, for the nine months ended September 30, 2026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2025. Realized performance allocation gains for the nine months ended September 30, 2026 and 2025 totaled $550.3 million and $930.2 million, respectively. Unrealized performance allocation gains for the nine months ended September 30, 2026 and 2025 totaled $906.4 million and $449.1 million, respectively.</w:t>
      </w:r>
    </w:p>
    <w:p>
      <w:pPr>
        <w:spacing w:after="0" w:line="18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table below highlights performance allocations for the nine months ended September 30, 2026 and 2025, and separates the entities listed into two categories to reflect the Reorganization: (i) TPG general partner entities from which the TPG Operating Group Common Unit holders are expected to receive a 20% performance allocation and (ii) TPG general partner entities from which the TPG Operating Group Common Unit holders are not expected to receive any performance allocation.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600" w:type="dxa"/>
            <w:vAlign w:val="bottom"/>
            <w:tcBorders>
              <w:bottom w:val="single" w:sz="8" w:color="auto"/>
            </w:tcBorders>
          </w:tcPr>
          <w:p>
            <w:pPr>
              <w:spacing w:after="0"/>
              <w:rPr>
                <w:sz w:val="18"/>
                <w:szCs w:val="18"/>
                <w:color w:val="auto"/>
              </w:rPr>
            </w:pPr>
          </w:p>
        </w:tc>
      </w:tr>
      <w:tr>
        <w:trPr>
          <w:trHeight w:val="211"/>
        </w:trPr>
        <w:tc>
          <w:tcPr>
            <w:tcW w:w="49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9"/>
        </w:trPr>
        <w:tc>
          <w:tcPr>
            <w:tcW w:w="49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600" w:type="dxa"/>
            <w:vAlign w:val="bottom"/>
            <w:tcBorders>
              <w:bottom w:val="single" w:sz="8" w:color="auto"/>
            </w:tcBorders>
          </w:tcPr>
          <w:p>
            <w:pPr>
              <w:spacing w:after="0"/>
              <w:rPr>
                <w:sz w:val="21"/>
                <w:szCs w:val="21"/>
                <w:color w:val="auto"/>
              </w:rPr>
            </w:pPr>
          </w:p>
        </w:tc>
      </w:tr>
      <w:tr>
        <w:trPr>
          <w:trHeight w:val="21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TPG Operating Group Shared:</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29"/>
        </w:trPr>
        <w:tc>
          <w:tcPr>
            <w:tcW w:w="49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Capital</w:t>
            </w:r>
            <w:r>
              <w:rPr>
                <w:rFonts w:ascii="Times New Roman" w:cs="Times New Roman" w:eastAsia="Times New Roman" w:hAnsi="Times New Roman"/>
                <w:sz w:val="23"/>
                <w:szCs w:val="23"/>
                <w:color w:val="auto"/>
                <w:vertAlign w:val="superscript"/>
              </w:rPr>
              <w:t>(1)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489,066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753,816</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(264,750)</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49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Growth</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93,803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r>
      <w:tr>
        <w:trPr>
          <w:trHeight w:val="230"/>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Impact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11,383</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9"/>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250,896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75,218</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9"/>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75,978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203,094</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 Solutions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85,344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(16,616)</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TPG Operating Group Shared: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1,455,624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1,353,492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102,132</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1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TPG Operating Group Excluded:</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29"/>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r>
      <w:tr>
        <w:trPr>
          <w:trHeight w:val="230"/>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Growth</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4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3"/>
        </w:trPr>
        <w:tc>
          <w:tcPr>
            <w:tcW w:w="49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Total TPG Operating Group Excluded</w:t>
            </w:r>
            <w:r>
              <w:rPr>
                <w:rFonts w:ascii="Times New Roman" w:cs="Times New Roman" w:eastAsia="Times New Roman" w:hAnsi="Times New Roman"/>
                <w:sz w:val="23"/>
                <w:szCs w:val="23"/>
                <w:b w:val="1"/>
                <w:bCs w:val="1"/>
                <w:color w:val="auto"/>
                <w:vertAlign w:val="superscript"/>
              </w:rPr>
              <w:t>(2)</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(24,792)</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Performance Allocations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1,456,621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1,379,281</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77,340</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1"/>
        </w:trPr>
        <w:tc>
          <w:tcPr>
            <w:tcW w:w="4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9" w:lineRule="exact"/>
        <w:rPr>
          <w:sz w:val="20"/>
          <w:szCs w:val="20"/>
          <w:color w:val="auto"/>
        </w:rPr>
      </w:pPr>
    </w:p>
    <w:p>
      <w:pPr>
        <w:jc w:val="both"/>
        <w:ind w:left="500" w:hanging="492"/>
        <w:spacing w:after="0" w:line="271" w:lineRule="auto"/>
        <w:tabs>
          <w:tab w:leader="none" w:pos="49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Reorganization, we retained an economic interest in performance allocations from the Growth III and Asia VI general partner entities, which entitles us to a performance allocation equal to 10%; however, we allocate the full amount as performance allocation compensation expense. As such, net income available to controlling interest holders is zero for each of these funds following the Reorganization.</w:t>
      </w:r>
    </w:p>
    <w:p>
      <w:pPr>
        <w:spacing w:after="0" w:line="21" w:lineRule="exact"/>
        <w:rPr>
          <w:rFonts w:ascii="Times New Roman" w:cs="Times New Roman" w:eastAsia="Times New Roman" w:hAnsi="Times New Roman"/>
          <w:sz w:val="14"/>
          <w:szCs w:val="14"/>
          <w:color w:val="auto"/>
        </w:rPr>
      </w:pPr>
    </w:p>
    <w:p>
      <w:pPr>
        <w:jc w:val="both"/>
        <w:ind w:left="500" w:hanging="492"/>
        <w:spacing w:after="0" w:line="281" w:lineRule="auto"/>
        <w:tabs>
          <w:tab w:leader="none" w:pos="49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TPG Operating Group Excluded entities’ performance allocations are not a component of net income attributable to TPG following the Reorganization; however, the TPG general partner entities continue to be consolidated by us. We transferred the rights to the performance allocations the TPG Operating Group historically would have received to RemainCo on December 31, 2021. As such, net income available to controlling interest holders is zero for each of the TPG Operating Group Excluded entities following January 1, 2022.</w:t>
      </w:r>
    </w:p>
    <w:p>
      <w:pPr>
        <w:spacing w:after="0" w:line="1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$77.3 million increase in performance allocations during the nine months ended September 30, 2026 compared to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is attributable to:</w:t>
      </w:r>
    </w:p>
    <w:p>
      <w:pPr>
        <w:spacing w:after="0" w:line="207" w:lineRule="exact"/>
        <w:rPr>
          <w:sz w:val="20"/>
          <w:szCs w:val="20"/>
          <w:color w:val="auto"/>
        </w:rPr>
      </w:pPr>
    </w:p>
    <w:p>
      <w:pPr>
        <w:jc w:val="both"/>
        <w:ind w:left="980" w:hanging="486"/>
        <w:spacing w:after="0" w:line="258"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of $489.1 million from our Capital platform for the nine months ended September 30, 2026 was primarily driven by income of $181.4 million from TPG IX, $139.6 million from TPG X, $72.1 million from Asia VIII and $43.9 million from THP I, partially offset by losses of $28.2 million from TPG VII. Performance allocation income of $753.8 million for the nine months ended September 30, 2025 was primarily driven by gains of $380.7 million from TPG IX, $150.5 million from Asia VII, $100.6 million from Asia VIII and $79.2 million from THP II, partially offset by losses of $29.1 million from THP I and $15.5 million from TPG VII;</w:t>
      </w:r>
    </w:p>
    <w:p>
      <w:pPr>
        <w:spacing w:after="0" w:line="183" w:lineRule="exact"/>
        <w:rPr>
          <w:rFonts w:ascii="Times New Roman" w:cs="Times New Roman" w:eastAsia="Times New Roman" w:hAnsi="Times New Roman"/>
          <w:sz w:val="18"/>
          <w:szCs w:val="18"/>
          <w:color w:val="auto"/>
        </w:rPr>
      </w:pPr>
    </w:p>
    <w:p>
      <w:pPr>
        <w:jc w:val="both"/>
        <w:ind w:left="980" w:hanging="486"/>
        <w:spacing w:after="0" w:line="273"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of $155.5 million from our Growth platform for the nine months ended September 30, 2026 was primarily driven by income of $125.5 million from TTAD II, $97.4 million from TTAD III and $53.3 million from TPG Growth VI, partially offset by losses of $80.4 million from</w:t>
      </w:r>
    </w:p>
    <w:p>
      <w:pPr>
        <w:spacing w:after="0" w:line="1" w:lineRule="exact"/>
        <w:rPr>
          <w:rFonts w:ascii="Times New Roman" w:cs="Times New Roman" w:eastAsia="Times New Roman" w:hAnsi="Times New Roman"/>
          <w:sz w:val="18"/>
          <w:szCs w:val="18"/>
          <w:color w:val="auto"/>
        </w:rPr>
      </w:pPr>
    </w:p>
    <w:p>
      <w:pPr>
        <w:jc w:val="both"/>
        <w:ind w:left="98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IV, $60.5 million from TTAD I and $57.5 million from Growth V. Performance allocation income of $61.7 million for the nine months ended September 30, 2025 was primarily driven by gains of $55.4 million from TTAD II, $26.7 million from Growth IV and $14.0 million from Growth V, partially offset by losses of $26.6 million from TTAD;</w:t>
      </w:r>
    </w:p>
    <w:p>
      <w:pPr>
        <w:spacing w:after="0" w:line="168" w:lineRule="exact"/>
        <w:rPr>
          <w:rFonts w:ascii="Times New Roman" w:cs="Times New Roman" w:eastAsia="Times New Roman" w:hAnsi="Times New Roman"/>
          <w:sz w:val="18"/>
          <w:szCs w:val="18"/>
          <w:color w:val="auto"/>
        </w:rPr>
      </w:pPr>
    </w:p>
    <w:p>
      <w:pPr>
        <w:jc w:val="both"/>
        <w:ind w:left="980" w:hanging="486"/>
        <w:spacing w:after="0" w:line="273" w:lineRule="auto"/>
        <w:tabs>
          <w:tab w:leader="none" w:pos="975"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income of $137.1 million from our Impact platform for the nine months ended September 30, 2026 was primarily driven by income of $174.0 million from Rise Climate I and $81.3 million from Rise III, partially offset by losses of $88.8 million from Rise II. Performance allocation</w:t>
      </w:r>
    </w:p>
    <w:p>
      <w:pPr>
        <w:spacing w:after="0" w:line="1" w:lineRule="exact"/>
        <w:rPr>
          <w:rFonts w:ascii="Times New Roman" w:cs="Times New Roman" w:eastAsia="Times New Roman" w:hAnsi="Times New Roman"/>
          <w:sz w:val="18"/>
          <w:szCs w:val="18"/>
          <w:b w:val="1"/>
          <w:bCs w:val="1"/>
          <w:i w:val="1"/>
          <w:iCs w:val="1"/>
          <w:color w:val="auto"/>
        </w:rPr>
      </w:pPr>
    </w:p>
    <w:p>
      <w:pPr>
        <w:ind w:left="980" w:right="2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income of $125.7 million for the nine months ended September 30, 2025 was primarily driven by gains of $80.2 million from Rise III, $59.0 million from Rise Climate I and $11.1 million from Rise II, partially offset by losses of $24.6 million from Rise I;</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80" w:hanging="486"/>
        <w:spacing w:after="0" w:line="258" w:lineRule="auto"/>
        <w:tabs>
          <w:tab w:leader="none" w:pos="975"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income of $326.1 million from our Credit platform for the nine months ended September 30, 2026 was primarily driven by income of $69.3 million from Credit Solutions III, $43.9 million from Credit Solutions II, $33.7 million from MMDL V and $23.5 million from ABC Fund II. Performance allocation income of $250.9 million for the nine months ended September 30, 2025 was primarily driven by income of $45.4 million from MVP, $45.3 million from Credit Solutions II, $21.9 million from ABC Fund I, $21.9 million from MMDL V and $19.7 million from Credit Solutions III;</w:t>
      </w:r>
    </w:p>
    <w:p>
      <w:pPr>
        <w:spacing w:after="0" w:line="183" w:lineRule="exact"/>
        <w:rPr>
          <w:rFonts w:ascii="Times New Roman" w:cs="Times New Roman" w:eastAsia="Times New Roman" w:hAnsi="Times New Roman"/>
          <w:sz w:val="18"/>
          <w:szCs w:val="18"/>
          <w:b w:val="1"/>
          <w:bCs w:val="1"/>
          <w:i w:val="1"/>
          <w:iCs w:val="1"/>
          <w:color w:val="auto"/>
        </w:rPr>
      </w:pPr>
    </w:p>
    <w:p>
      <w:pPr>
        <w:jc w:val="both"/>
        <w:ind w:left="980" w:hanging="486"/>
        <w:spacing w:after="0" w:line="273"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of $279.1 million from our Real Estate platform for the nine months ended September 30, 2026 was primarily driven by income of $174.4 million from TREP IV, $40.8 million from Realty XI and $38.0 million from Asia Realty V, partially offset by losses of $26.2 million</w:t>
      </w:r>
    </w:p>
    <w:p>
      <w:pPr>
        <w:spacing w:after="0" w:line="1" w:lineRule="exact"/>
        <w:rPr>
          <w:rFonts w:ascii="Times New Roman" w:cs="Times New Roman" w:eastAsia="Times New Roman" w:hAnsi="Times New Roman"/>
          <w:sz w:val="18"/>
          <w:szCs w:val="18"/>
          <w:color w:val="auto"/>
        </w:rPr>
      </w:pPr>
    </w:p>
    <w:p>
      <w:pPr>
        <w:jc w:val="both"/>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Net Lease III and $9.7 million from Realty VIII. Performance allocation income of $76.0 million for the nine months ended September 30, 2025 was primarily driven by income of $125.6 million from TREP III, $12.4 million from Net Lease III, $11.5 million from Asia Realty V and $9.4 million from Net Lease IV, partially offset by losses of $38.4 million from Realty X and $38.0 million from Asia Realty IV; and</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income of $68.7 million from our Market Solutions platform during the nine months ended September 30, 2026 was primarily driven by income of $31.9 million from the T-POP strategy and $17.6 million from TGS I. Performance allocation income of $85.3 million for the nine months ended September 30, 2025 was primarily driven by gains of $73.3 million from NewQuest IV and $12.7 million from TPEP.</w:t>
      </w:r>
    </w:p>
    <w:p>
      <w:pPr>
        <w:spacing w:after="0" w:line="175" w:lineRule="exact"/>
        <w:rPr>
          <w:rFonts w:ascii="Times New Roman" w:cs="Times New Roman" w:eastAsia="Times New Roman" w:hAnsi="Times New Roman"/>
          <w:sz w:val="18"/>
          <w:szCs w:val="18"/>
          <w:b w:val="1"/>
          <w:bCs w:val="1"/>
          <w:i w:val="1"/>
          <w:iCs w:val="1"/>
          <w:color w:val="auto"/>
        </w:rPr>
      </w:pPr>
    </w:p>
    <w:p>
      <w:pPr>
        <w:jc w:val="both"/>
        <w:ind w:left="980" w:hanging="486"/>
        <w:spacing w:after="0" w:line="256" w:lineRule="auto"/>
        <w:tabs>
          <w:tab w:leader="none" w:pos="975" w:val="left"/>
        </w:tabs>
        <w:numPr>
          <w:ilvl w:val="0"/>
          <w:numId w:val="3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TPG Operating Group Excluded entities generated income of $1.0 million during the nine months ended September 30, 2026 compared to $25.8 million during the nine months ended September 30, 2025. Performance allocation income for the nine months ended September 30, 2026 was primarily driven by income of $3.7 million from Asia V from our Capital platform, partially offset by losses of $1.7 million from Growth II from our Growth platform and $1.6 million from TREP II from our Real Estate platform. Performance allocation income for the nine months ended September 30, 2025 was primarily driven by gains of $10.4 million from Gator, $10.1 million from Growth II and $4.8 million from Biotech III from our Growth platform.</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September 30, 2026, accrued performance allocations presented as investments in the Condensed Consolidated Statements of Financial Condition for Common Unit holders of TPG Operating Group shared TPG general partner entities totaled $8.0 billion. As of September 30, 2026, accrued performance allocations presented as investments in the Condensed Consolidated Statements of Financial Condition for Common Unit holders of TPG Operating Group excluded TPG general partner entities totaled $0.2 billion.</w:t>
      </w:r>
    </w:p>
    <w:p>
      <w:pPr>
        <w:spacing w:after="0" w:line="17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Capital Interests. </w:t>
      </w:r>
      <w:r>
        <w:rPr>
          <w:rFonts w:ascii="Times New Roman" w:cs="Times New Roman" w:eastAsia="Times New Roman" w:hAnsi="Times New Roman"/>
          <w:sz w:val="18"/>
          <w:szCs w:val="18"/>
          <w:color w:val="auto"/>
        </w:rPr>
        <w:t>Capital interests income decreased $22.4 million for the nine months ended September 30, 2026 compared to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2025. This change was primarily attributable to losses from our investments in TPG VII and Asia VII, partially offset by gains from our investments in TPG X and TGS I during the nine months ended September 30, 2026. During the nine months ended September 30, 2025, we recognized gains on our investments in TPG IX and Asia VII, partially offset by losses from our investments in TPG VII and TPG VIII.</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7"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Cash-Based Compensation and Benefits. </w:t>
      </w:r>
      <w:r>
        <w:rPr>
          <w:rFonts w:ascii="Times New Roman" w:cs="Times New Roman" w:eastAsia="Times New Roman" w:hAnsi="Times New Roman"/>
          <w:sz w:val="18"/>
          <w:szCs w:val="18"/>
          <w:color w:val="auto"/>
        </w:rPr>
        <w:t>Cash-based compensation and benefits expense increased $67.4 million, or 10%,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compared to the nine months ended September 30, 2025 resulting from an increase in headcount to support our growth.</w:t>
      </w:r>
    </w:p>
    <w:p>
      <w:pPr>
        <w:spacing w:after="0" w:line="15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Equity-Based Compensation. </w:t>
      </w:r>
      <w:r>
        <w:rPr>
          <w:rFonts w:ascii="Times New Roman" w:cs="Times New Roman" w:eastAsia="Times New Roman" w:hAnsi="Times New Roman"/>
          <w:sz w:val="18"/>
          <w:szCs w:val="18"/>
          <w:color w:val="auto"/>
        </w:rPr>
        <w:t>Equity-based compensation expense increased $126.7 million, or 22%, for the nine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nine months ended September 30, 2025, primarily due to the reversal of equity-based compensation expense during the nine months ended September 30, 2025 related to liability-classified performance awards that were no longer probable of vesting, as described in Note 14 to the Condensed Consolidated Financial Statements, and an increase in compensatory RSU grants to TPG employees.</w:t>
      </w:r>
    </w:p>
    <w:p>
      <w:pPr>
        <w:spacing w:after="0" w:line="180"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Performance Allocation Compensation. </w:t>
      </w:r>
      <w:r>
        <w:rPr>
          <w:rFonts w:ascii="Times New Roman" w:cs="Times New Roman" w:eastAsia="Times New Roman" w:hAnsi="Times New Roman"/>
          <w:sz w:val="18"/>
          <w:szCs w:val="18"/>
          <w:color w:val="auto"/>
        </w:rPr>
        <w:t>Performance allocation compensation increased $93.5 million, or 10%,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compared to the nine months ended September 30, 2025, primarily driven by higher performance allocations and the related compensation attributable to our partners and professionals.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Administrative and Other. </w:t>
      </w:r>
      <w:r>
        <w:rPr>
          <w:rFonts w:ascii="Times New Roman" w:cs="Times New Roman" w:eastAsia="Times New Roman" w:hAnsi="Times New Roman"/>
          <w:sz w:val="18"/>
          <w:szCs w:val="18"/>
          <w:color w:val="auto"/>
        </w:rPr>
        <w:t>General, administrative and other decreased $18.1 million, or 4%, for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compared to the nine months ended September 30, 2025, primarily driven by lower reimbursable expenses incurred on behalf of TPG funds and lower professional services, partially offset by higher occupancy costs.</w:t>
      </w:r>
    </w:p>
    <w:p>
      <w:pPr>
        <w:spacing w:after="0" w:line="17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increased $20.2 million, or 20%, for the nine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nine months ended September 30, 2025, primarily driven by amortization of intangible assets resulting from the July 2025 acquisition of Peppertree.</w:t>
      </w:r>
    </w:p>
    <w:p>
      <w:pPr>
        <w:spacing w:after="0" w:line="173"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$22.8 million, or 28%, for the nine months ended September 30, 2026 compared to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2025, primarily driven by higher average debt outstanding throughout the year.</w:t>
      </w:r>
    </w:p>
    <w:p>
      <w:pPr>
        <w:spacing w:after="0" w:line="158"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Gains from Investment Activities. </w:t>
      </w:r>
      <w:r>
        <w:rPr>
          <w:rFonts w:ascii="Times New Roman" w:cs="Times New Roman" w:eastAsia="Times New Roman" w:hAnsi="Times New Roman"/>
          <w:sz w:val="18"/>
          <w:szCs w:val="18"/>
          <w:color w:val="auto"/>
        </w:rPr>
        <w:t>Net gains from investment activities totaled $110.8 million for the nine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net losses of $2.7 million for the nine months ended September 30, 2025, primarily driven by an increase in the fair value of common stock held in Jackson during the nine months ended September 30, 2026.</w:t>
      </w:r>
    </w:p>
    <w:p>
      <w:pPr>
        <w:spacing w:after="0" w:line="173"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Dividends and Other. </w:t>
      </w:r>
      <w:r>
        <w:rPr>
          <w:rFonts w:ascii="Times New Roman" w:cs="Times New Roman" w:eastAsia="Times New Roman" w:hAnsi="Times New Roman"/>
          <w:sz w:val="18"/>
          <w:szCs w:val="18"/>
          <w:color w:val="auto"/>
        </w:rPr>
        <w:t>Interest, dividends and other decreased $9.1 million, or 17%, for the nine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nine months ended September 30, 2025, primarily driven by changes in the fair value of contingent liabilities related to acquisitions.</w:t>
      </w:r>
    </w:p>
    <w:p>
      <w:pPr>
        <w:spacing w:after="0" w:line="158"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increased by $32.4 million, or 73%, for the nine months ended September 30, 2026 compared to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2025 primarily due to an increase in income attributable to TPG Inc.</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Financial Condition (U.S. GAAP basis)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50"/>
        </w:trPr>
        <w:tc>
          <w:tcPr>
            <w:tcW w:w="70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980" w:type="dxa"/>
            <w:vAlign w:val="bottom"/>
            <w:tcBorders>
              <w:bottom w:val="single" w:sz="8" w:color="auto"/>
            </w:tcBorders>
            <w:gridSpan w:val="4"/>
          </w:tcPr>
          <w:p>
            <w:pPr>
              <w:jc w:val="right"/>
              <w:ind w:right="1450"/>
              <w:spacing w:after="0"/>
              <w:rPr>
                <w:sz w:val="20"/>
                <w:szCs w:val="20"/>
                <w:color w:val="auto"/>
              </w:rPr>
            </w:pPr>
            <w:r>
              <w:rPr>
                <w:rFonts w:ascii="Times New Roman" w:cs="Times New Roman" w:eastAsia="Times New Roman" w:hAnsi="Times New Roman"/>
                <w:sz w:val="16"/>
                <w:szCs w:val="16"/>
                <w:b w:val="1"/>
                <w:bCs w:val="1"/>
                <w:color w:val="auto"/>
              </w:rPr>
              <w:t>($ in thousands)</w:t>
            </w:r>
          </w:p>
        </w:tc>
      </w:tr>
      <w:tr>
        <w:trPr>
          <w:trHeight w:val="21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2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799,786</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826,105</w:t>
            </w:r>
          </w:p>
        </w:tc>
      </w:tr>
      <w:tr>
        <w:trPr>
          <w:trHeight w:val="229"/>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10,277,810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9,211,816</w:t>
            </w:r>
          </w:p>
        </w:tc>
      </w:tr>
      <w:tr>
        <w:trPr>
          <w:trHeight w:val="230"/>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from affiliates</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519,536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573,590</w:t>
            </w:r>
          </w:p>
        </w:tc>
      </w:tr>
      <w:tr>
        <w:trPr>
          <w:trHeight w:val="229"/>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1,049,646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1,158,027</w:t>
            </w:r>
          </w:p>
        </w:tc>
      </w:tr>
      <w:tr>
        <w:trPr>
          <w:trHeight w:val="230"/>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549,487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552,254</w:t>
            </w:r>
          </w:p>
        </w:tc>
      </w:tr>
      <w:tr>
        <w:trPr>
          <w:trHeight w:val="229"/>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983,296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860,676</w:t>
            </w:r>
          </w:p>
        </w:tc>
      </w:tr>
      <w:tr>
        <w:trPr>
          <w:trHeight w:val="229"/>
        </w:trPr>
        <w:tc>
          <w:tcPr>
            <w:tcW w:w="7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503,715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310,467</w:t>
            </w:r>
          </w:p>
        </w:tc>
      </w:tr>
      <w:tr>
        <w:trPr>
          <w:trHeight w:val="248"/>
        </w:trPr>
        <w:tc>
          <w:tcPr>
            <w:tcW w:w="7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14,683,276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13,492,935</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30"/>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obligations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2,279,492</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1,722,547</w:t>
            </w:r>
          </w:p>
        </w:tc>
      </w:tr>
      <w:tr>
        <w:trPr>
          <w:trHeight w:val="229"/>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to affiliates</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766,275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694,632</w:t>
            </w:r>
          </w:p>
        </w:tc>
      </w:tr>
      <w:tr>
        <w:trPr>
          <w:trHeight w:val="230"/>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performance allocation compensation</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5,934,509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5,399,750</w:t>
            </w:r>
          </w:p>
        </w:tc>
      </w:tr>
      <w:tr>
        <w:trPr>
          <w:trHeight w:val="229"/>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604,593</w:t>
            </w:r>
          </w:p>
        </w:tc>
      </w:tr>
      <w:tr>
        <w:trPr>
          <w:trHeight w:val="229"/>
        </w:trPr>
        <w:tc>
          <w:tcPr>
            <w:tcW w:w="7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1,075,955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935,038</w:t>
            </w:r>
          </w:p>
        </w:tc>
      </w:tr>
      <w:tr>
        <w:trPr>
          <w:trHeight w:val="223"/>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10,716,031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9,356,560</w:t>
            </w:r>
          </w:p>
        </w:tc>
      </w:tr>
      <w:tr>
        <w:trPr>
          <w:trHeight w:val="237"/>
        </w:trPr>
        <w:tc>
          <w:tcPr>
            <w:tcW w:w="7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175"/>
        </w:trPr>
        <w:tc>
          <w:tcPr>
            <w:tcW w:w="70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A common stock $0.001 par value, 2,340,000,000 shares authorized (173,699,268 and</w:t>
            </w:r>
          </w:p>
        </w:tc>
        <w:tc>
          <w:tcPr>
            <w:tcW w:w="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84"/>
        </w:trPr>
        <w:tc>
          <w:tcPr>
            <w:tcW w:w="7040" w:type="dxa"/>
            <w:vAlign w:val="bottom"/>
          </w:tcPr>
          <w:p>
            <w:pPr>
              <w:ind w:left="300"/>
              <w:spacing w:after="0" w:line="184" w:lineRule="exact"/>
              <w:rPr>
                <w:sz w:val="20"/>
                <w:szCs w:val="20"/>
                <w:color w:val="auto"/>
              </w:rPr>
            </w:pPr>
            <w:r>
              <w:rPr>
                <w:rFonts w:ascii="Times New Roman" w:cs="Times New Roman" w:eastAsia="Times New Roman" w:hAnsi="Times New Roman"/>
                <w:sz w:val="18"/>
                <w:szCs w:val="18"/>
                <w:color w:val="auto"/>
              </w:rPr>
              <w:t>153,113,961 shares issued and outstanding as of September 30, 2026 and December 31,</w:t>
            </w:r>
          </w:p>
        </w:tc>
        <w:tc>
          <w:tcPr>
            <w:tcW w:w="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34"/>
        </w:trPr>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2025, respectively)</w:t>
            </w: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175"/>
        </w:trPr>
        <w:tc>
          <w:tcPr>
            <w:tcW w:w="70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Class B common stock $0.001 par value, 750,000,000 shares authorized (210,848,910 and</w:t>
            </w:r>
          </w:p>
        </w:tc>
        <w:tc>
          <w:tcPr>
            <w:tcW w:w="2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r>
      <w:tr>
        <w:trPr>
          <w:trHeight w:val="184"/>
        </w:trPr>
        <w:tc>
          <w:tcPr>
            <w:tcW w:w="7040" w:type="dxa"/>
            <w:vAlign w:val="bottom"/>
            <w:shd w:val="clear" w:color="auto" w:fill="CCEEFF"/>
          </w:tcPr>
          <w:p>
            <w:pPr>
              <w:ind w:left="300"/>
              <w:spacing w:after="0" w:line="184" w:lineRule="exact"/>
              <w:rPr>
                <w:sz w:val="20"/>
                <w:szCs w:val="20"/>
                <w:color w:val="auto"/>
              </w:rPr>
            </w:pPr>
            <w:r>
              <w:rPr>
                <w:rFonts w:ascii="Times New Roman" w:cs="Times New Roman" w:eastAsia="Times New Roman" w:hAnsi="Times New Roman"/>
                <w:sz w:val="18"/>
                <w:szCs w:val="18"/>
                <w:color w:val="auto"/>
              </w:rPr>
              <w:t>224,331,812 shares issued and outstanding as of September 30, 2026 and December 31,</w:t>
            </w:r>
          </w:p>
        </w:tc>
        <w:tc>
          <w:tcPr>
            <w:tcW w:w="2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r>
      <w:tr>
        <w:trPr>
          <w:trHeight w:val="234"/>
        </w:trPr>
        <w:tc>
          <w:tcPr>
            <w:tcW w:w="7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2025, respectively)</w:t>
            </w:r>
          </w:p>
        </w:tc>
        <w:tc>
          <w:tcPr>
            <w:tcW w:w="22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175"/>
        </w:trPr>
        <w:tc>
          <w:tcPr>
            <w:tcW w:w="70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25,000,000 shares authorized (0 issued and outstanding as of</w:t>
            </w:r>
          </w:p>
        </w:tc>
        <w:tc>
          <w:tcPr>
            <w:tcW w:w="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243"/>
        </w:trPr>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September 30, 2026 and December 31, 2025)</w:t>
            </w:r>
          </w:p>
        </w:tc>
        <w:tc>
          <w:tcPr>
            <w:tcW w:w="220" w:type="dxa"/>
            <w:vAlign w:val="bottom"/>
          </w:tcPr>
          <w:p>
            <w:pPr>
              <w:spacing w:after="0"/>
              <w:rPr>
                <w:sz w:val="21"/>
                <w:szCs w:val="21"/>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1,764,591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1,476,444</w:t>
            </w:r>
          </w:p>
        </w:tc>
      </w:tr>
      <w:tr>
        <w:trPr>
          <w:trHeight w:val="23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(291,604)</w:t>
            </w:r>
          </w:p>
        </w:tc>
      </w:tr>
      <w:tr>
        <w:trPr>
          <w:trHeight w:val="230"/>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net of tax</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2,615,241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2,951,158</w:t>
            </w:r>
          </w:p>
        </w:tc>
      </w:tr>
      <w:tr>
        <w:trPr>
          <w:trHeight w:val="223"/>
        </w:trPr>
        <w:tc>
          <w:tcPr>
            <w:tcW w:w="7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3,967,245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4,136,375</w:t>
            </w:r>
          </w:p>
        </w:tc>
      </w:tr>
      <w:tr>
        <w:trPr>
          <w:trHeight w:val="223"/>
        </w:trPr>
        <w:tc>
          <w:tcPr>
            <w:tcW w:w="70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14,683,276</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13,492,935</w:t>
            </w:r>
          </w:p>
        </w:tc>
      </w:tr>
      <w:tr>
        <w:trPr>
          <w:trHeight w:val="20"/>
        </w:trPr>
        <w:tc>
          <w:tcPr>
            <w:tcW w:w="7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Investments increased $1,066.0 million during the nine months ended September 30, 2026 primarily due to purchases of investments of $1,206.5 million and net capital allocation-based income of $1,524.8 million, partially offset by proceeds of $1,092.1 million and deconsolidation activity of $804.8 million.</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Other assets increased $193.2 million during the nine months ended September 30, 2026 primarily related to the issuance of Class A common stock to a subsidiary of Jackson as described in Note 15.</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Debt obligations increased $556.9 million during the nine months ended September 30, 2026 primarily due to the issuance of the 2031 Senior Notes.</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Accrued performance allocation compensation increased $534.8 million for the nine months ended September 30, 2026, primarily attributable to performance allocation compensation of $1,045.1 million, partially offset by settlements of performance allocation compensation of $508.8 million.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Distributable Earnings. </w:t>
      </w:r>
      <w:r>
        <w:rPr>
          <w:rFonts w:ascii="Times New Roman" w:cs="Times New Roman" w:eastAsia="Times New Roman" w:hAnsi="Times New Roman"/>
          <w:sz w:val="18"/>
          <w:szCs w:val="18"/>
          <w:color w:val="auto"/>
        </w:rPr>
        <w:t>Distributable Earnings (“DE”) is used to assess performance and amounts potentially available for distributions to partners.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 is derived from and reconciled to, but not equivalent to, its most directly comparable U.S. GAAP measure of net income. DE differs from U.S. GAAP net income computed in accordance with U.S. GAAP in that it does not include (i) unrealized performance allocations and related compensation expense,</w:t>
      </w:r>
    </w:p>
    <w:p>
      <w:pPr>
        <w:spacing w:after="0" w:line="1" w:lineRule="exact"/>
        <w:rPr>
          <w:sz w:val="20"/>
          <w:szCs w:val="20"/>
          <w:color w:val="auto"/>
        </w:rPr>
      </w:pPr>
    </w:p>
    <w:p>
      <w:pPr>
        <w:ind w:firstLine="8"/>
        <w:spacing w:after="0" w:line="260" w:lineRule="auto"/>
        <w:tabs>
          <w:tab w:leader="none" w:pos="26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investment income, (iii) equity-based compensation expense, (iv) amortization, (v) net income (loss) attributable to non-controlling interests in consolidated entities, or (vi) certain other items, such as contingent reserves.</w:t>
      </w:r>
    </w:p>
    <w:p>
      <w:pPr>
        <w:spacing w:after="0" w:line="1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While we believe that the inclusion or exclusion of the aforementioned U.S. GAAP income statement items provides investors with a meaningful indication of our core operating performance, the use of DE without consideration of the related U.S. GAAP measures is not adequate due to the adjustments described herein. This measure supplements U.S. GAAP net income and should be considered in addition to and not in lieu of the results of operations presented in accordance with U.S. GAAP discussed further under “—Key Components of our Results of Operations—Results of Operations” prepared in accordance with U.S. GAAP.</w:t>
      </w:r>
    </w:p>
    <w:p>
      <w:pPr>
        <w:spacing w:after="0" w:line="18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i w:val="1"/>
          <w:iCs w:val="1"/>
          <w:color w:val="auto"/>
        </w:rPr>
        <w:t>After-Tax Distributable Earnings</w:t>
      </w:r>
      <w:r>
        <w:rPr>
          <w:rFonts w:ascii="Times New Roman" w:cs="Times New Roman" w:eastAsia="Times New Roman" w:hAnsi="Times New Roman"/>
          <w:sz w:val="18"/>
          <w:szCs w:val="18"/>
          <w:color w:val="auto"/>
        </w:rPr>
        <w:t>. After-tax Distributable Earnings (“After-tax DE”) is a non-GAAP performance measure of our distributable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after reflecting the impact of income taxes. We use it to assess how income tax expense affects amounts available to be distributed to our Class A common stockholders and Common Unit holders. After-tax DE differs from U.S. GAAP net income computed in accordance with U.S. GAAP in that it does not include the items described in the definition of DE herein; however, unlike DE, it does reflect the impact of income taxes. Income taxes, for purposes of determining After-tax DE, represent the total U.S. GAAP income tax expense adjusted to include only the current tax expense (benefit) calculated on U.S. GAAP net income before income tax and includes the current payable under our Tax Receivable Agreement, which is recorded within due to affiliates and other liabilities in our Condensed Consolidated Statements of Financial Condition. Further, the current tax expense (benefit) utilized when determining After-tax DE reflects the benefit of deductions available to the Company on certain expense items that are excluded from the underlying calculation of DE, such as equity-based compensation charges. We believe that including the amount currently payable under the Tax Receivable Agreement and utilizing the current income tax expense (benefit), as described above, when determining After-tax DE is meaningful as it increases comparability between periods and more accurately reflects earnings that are available for distribution to shareholders.</w:t>
      </w:r>
    </w:p>
    <w:p>
      <w:pPr>
        <w:spacing w:after="0" w:line="19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that while the inclusion or exclusion of the aforementioned U.S. GAAP income statement items provides investors with a meaningful indication of our core operating performance, the use of After-tax DE without consideration of the related U.S. GAAP measures is not adequate due to the adjustments described herein. This measure supplements U.S. GAAP net income and should be considered in addition to and not in lieu of the results of operations presented in accordance with U.S. GAAP discussed further under “—Key Components of our Results of Operations—Results of Operations.”</w:t>
      </w:r>
    </w:p>
    <w:p>
      <w:pPr>
        <w:spacing w:after="0" w:line="17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Fee-Related Earnings</w:t>
      </w:r>
      <w:r>
        <w:rPr>
          <w:rFonts w:ascii="Times New Roman" w:cs="Times New Roman" w:eastAsia="Times New Roman" w:hAnsi="Times New Roman"/>
          <w:sz w:val="18"/>
          <w:szCs w:val="18"/>
          <w:color w:val="auto"/>
        </w:rPr>
        <w:t>. Fee-Related Earnings (“FRE”) is a supplemental performance measure and is used to evaluate our business and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 deployment and other operational decisions. FRE differs from net income computed in accordance with U.S. GAAP in that it adjusts for the items included in the calculation of DE and also adjusts to exclude (i) realized performance allocations and related compensation expense, (ii) realized investment income from investments and financial instruments, (iii) net interest (interest expense less interest income), (iv) depreciation, and (v) certain non-core income and expenses. We use FRE to measure the ability of our business to cover compensation and operating expenses from fee revenues other than capital allocation-based income. The use of FRE without consideration of the related U.S. GAAP measures is not adequate due to the adjustments described herein.</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Fee-Related Revenues</w:t>
      </w:r>
      <w:r>
        <w:rPr>
          <w:rFonts w:ascii="Times New Roman" w:cs="Times New Roman" w:eastAsia="Times New Roman" w:hAnsi="Times New Roman"/>
          <w:sz w:val="18"/>
          <w:szCs w:val="18"/>
          <w:color w:val="auto"/>
        </w:rPr>
        <w:t>. Fee-related revenues (“FRR”) is a component of FRE. Fee-related revenues is comprised of (i) management fees, (ii) fee-related performance revenues, and (iii) transaction, monitoring and other fees, net. Fee-related performance revenues refers to incentive fees from perpetual capital vehicles that are: (i) measured and expected to be received on a recurring basis and (ii) not dependent on realization events from the underlying investments. Fee-related revenues differs from revenue computed in accordance with U.S. GAAP in that it excludes certain reimbursement expense arrangements. Refer to “—Reconciliation to U.S. GAAP Measures” to the comparable line items on the Condensed Consolidated Statements of Operations.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Fee-Related Expenses</w:t>
      </w:r>
      <w:r>
        <w:rPr>
          <w:rFonts w:ascii="Times New Roman" w:cs="Times New Roman" w:eastAsia="Times New Roman" w:hAnsi="Times New Roman"/>
          <w:sz w:val="18"/>
          <w:szCs w:val="18"/>
          <w:color w:val="auto"/>
        </w:rPr>
        <w:t>. Fee-related expenses is a component of FRE. Fee-related expenses differs from expenses computed in accordance with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 in that it is net of certain reimbursement arrangements and does not include performance allocation compensation. Fee-related expenses is used in management’s review of the business. Refer to “—Reconciliation to U.S. GAAP Measures” to the comparable line items on the Condensed Consolidated Statements of Operations.</w:t>
      </w:r>
    </w:p>
    <w:p>
      <w:pPr>
        <w:spacing w:after="0" w:line="18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Fee-related revenues and fee-related expenses are presented separately in our calculation of non-GAAP measures in order to better illustrate the profitability of our FRE. The use of fee-related revenues and FRE without consideration of the related U.S. GAAP measures is not adequate due to the adjustments described herein.</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calculations of DE, FRE, fee-related revenues and fee-related expenses may differ from the calculations of other investment managers. As a result, these measures may not be comparable to similar measures presented by other investment managers.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total FRE and DE for the three and nine months ended September 30,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8"/>
                <w:szCs w:val="18"/>
                <w:color w:val="auto"/>
              </w:rPr>
            </w:pPr>
          </w:p>
        </w:tc>
        <w:tc>
          <w:tcPr>
            <w:tcW w:w="2840" w:type="dxa"/>
            <w:vAlign w:val="bottom"/>
            <w:gridSpan w:val="4"/>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0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9"/>
        </w:trPr>
        <w:tc>
          <w:tcPr>
            <w:tcW w:w="50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2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572,867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1,564,839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1,324,961</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Fee-related performance revenues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20,309</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monitoring and other fees, net</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135,509</w:t>
            </w:r>
          </w:p>
        </w:tc>
      </w:tr>
      <w:tr>
        <w:trPr>
          <w:trHeight w:val="22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Fee-Related Revenues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638,072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1,823,444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1,480,779</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Cash-based compensation and benefits,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201,130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615,524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553,398</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Fee-related performance compensation</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10,155</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net</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110,336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291,146</w:t>
            </w:r>
          </w:p>
        </w:tc>
      </w:tr>
      <w:tr>
        <w:trPr>
          <w:trHeight w:val="223"/>
        </w:trPr>
        <w:tc>
          <w:tcPr>
            <w:tcW w:w="5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Fee-Related Expenses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316,721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940,552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854,699</w:t>
            </w:r>
          </w:p>
        </w:tc>
      </w:tr>
      <w:tr>
        <w:trPr>
          <w:trHeight w:val="223"/>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Fee-Related Earnings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321,351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882,892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626,080</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performance allocations,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157,082</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investment income and other,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(15,320)</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(54,923)</w:t>
            </w:r>
          </w:p>
        </w:tc>
      </w:tr>
      <w:tr>
        <w:trPr>
          <w:trHeight w:val="223"/>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Distributable Earnings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286,264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878,690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705,929</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(36,541)</w:t>
            </w:r>
          </w:p>
        </w:tc>
      </w:tr>
      <w:tr>
        <w:trPr>
          <w:trHeight w:val="22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After-Tax Distributable Earnings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264,814</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214,362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826,690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669,388</w:t>
            </w: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2026 Compared to Three Months Ended September 30,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Fee-Related Revenues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Fee-related revenues increased $128.7 million, or 25%, for the three months ended September 30, 2026 compared to the three months ended September 30, 2025. The change was primarily due to additional management fees of $111.5 million and an increase in transaction, monitoring and other fees, net of $14.0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Fees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management fees in our platforms for the three months ended September 30,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76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69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76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300" w:type="dxa"/>
            <w:vAlign w:val="bottom"/>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170,482</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137,341</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57,576</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49,234</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107,330</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68,287</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107,234</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87,179</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84,104</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86,328</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46,141</w:t>
            </w: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32,969</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Management Fees</w:t>
            </w:r>
          </w:p>
        </w:tc>
        <w:tc>
          <w:tcPr>
            <w:tcW w:w="1300" w:type="dxa"/>
            <w:vAlign w:val="bottom"/>
            <w:tcBorders>
              <w:bottom w:val="single" w:sz="8" w:color="auto"/>
            </w:tcBorders>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572,867</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461,338</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$111.5 million increase in management fees during the three months ended September 30, 2026 compared to the three months ended September 30, 2025 is attributable to:</w:t>
      </w:r>
    </w:p>
    <w:p>
      <w:pPr>
        <w:spacing w:after="0" w:line="162" w:lineRule="exact"/>
        <w:rPr>
          <w:sz w:val="20"/>
          <w:szCs w:val="20"/>
          <w:color w:val="auto"/>
        </w:rPr>
      </w:pPr>
    </w:p>
    <w:p>
      <w:pPr>
        <w:jc w:val="both"/>
        <w:ind w:left="980" w:hanging="486"/>
        <w:spacing w:after="0" w:line="266"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$33.1 million from our Capital platform primarily driven by management fees, including catch-up fees earned from TPG X following its activation in the third quarter of 2025, partially offset by a step-down in the fee basis of TPG IX from committed to invested capital in the fourth quarter of 2025;</w:t>
      </w:r>
    </w:p>
    <w:p>
      <w:pPr>
        <w:spacing w:after="0" w:line="17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$8.3 million from our Growth platform primarily driven by fees earned from TECA resulting from new capital raised during the three months ended September 30, 2026 and fees earned from TPG Sports following its activation during the first quarter of 2026;</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an increase of $39.0 million from our Impact platform primarily driven by catch-up fees earned from Rise Climate II and fees earned from Rise Climate Global South resulting from new capital raised during the three months ended September 30, 2026;</w:t>
      </w:r>
    </w:p>
    <w:p>
      <w:pPr>
        <w:spacing w:after="0" w:line="161" w:lineRule="exact"/>
        <w:rPr>
          <w:rFonts w:ascii="Times New Roman" w:cs="Times New Roman" w:eastAsia="Times New Roman" w:hAnsi="Times New Roman"/>
          <w:sz w:val="18"/>
          <w:szCs w:val="18"/>
          <w:b w:val="1"/>
          <w:bCs w:val="1"/>
          <w:i w:val="1"/>
          <w:iCs w:val="1"/>
          <w:color w:val="auto"/>
        </w:rPr>
      </w:pPr>
    </w:p>
    <w:p>
      <w:pPr>
        <w:ind w:left="980" w:hanging="486"/>
        <w:spacing w:after="0" w:line="282"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$20.1 million from our Credit platform primarily driven by a higher fee basis across Credit Solutions III, MMDL V and MMDL Evergreen as a result of new investments;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$2.2 million from our Real Estate platform primarily driven by the decrease in the fee basis of Net Lease Realty III; and</w:t>
      </w:r>
    </w:p>
    <w:p>
      <w:pPr>
        <w:spacing w:after="0" w:line="22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$13.2 million from our Market Solutions platform primarily driven by management fees from TGS II following its activation in the third quarter of 2025 and higher management fees from T-POP resulting from additional subscriptions during the three months ended September 30, 2026.</w:t>
      </w:r>
    </w:p>
    <w:p>
      <w:pPr>
        <w:spacing w:after="0" w:line="176"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Catch-up fees totaled $62.4 million during the three months ended September 30, 2026 and primarily consisted of $21.1 million for TPG X, $20.1 million for Rise Climate II and $5.5 million for Rise Climate Global South.</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Fee-Related Performance Revenues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fee-related performance revenues for the three months ended September 30,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54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66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2026</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right"/>
              <w:ind w:right="79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66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340" w:type="dxa"/>
            <w:vAlign w:val="bottom"/>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Fee-Related Performance Revenues</w:t>
            </w:r>
          </w:p>
        </w:tc>
        <w:tc>
          <w:tcPr>
            <w:tcW w:w="1340" w:type="dxa"/>
            <w:vAlign w:val="bottom"/>
            <w:tcBorders>
              <w:bottom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10,512</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1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Fee-related performance revenues increased $3.2 million, or 43%, for the three months ended September 30, 2026 compared to the three months ended September 30, 2025 due to higher incentive fees from TCAP.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Monitoring and Other Fees,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transaction, monitoring and other fees, net in our platforms for the three months ended September 30,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50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70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2026</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right"/>
              <w:ind w:right="75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70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340" w:type="dxa"/>
            <w:vAlign w:val="bottom"/>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43,599</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30,683</w:t>
            </w:r>
          </w:p>
        </w:tc>
      </w:tr>
      <w:tr>
        <w:trPr>
          <w:trHeight w:val="223"/>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51,915</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38,097</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Transaction, Monitoring and Other Fees, Net</w:t>
            </w:r>
          </w:p>
        </w:tc>
        <w:tc>
          <w:tcPr>
            <w:tcW w:w="1340" w:type="dxa"/>
            <w:vAlign w:val="bottom"/>
            <w:tcBorders>
              <w:bottom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54,693</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40,718</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Transaction, monitoring and other fees, net increased $14.0 million, or 34%, for the three months ended September 30, 2026 compared to the three months ended September 30, 2025, primarily driven by our Market Solutions platform as a result of capital markets activity among our portfolio companies involving our broker-dealer.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Fee-Related Expenses</w:t>
      </w:r>
    </w:p>
    <w:p>
      <w:pPr>
        <w:spacing w:after="0" w:line="22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Fee-related expenses increased $32.3 million, or 11%, during the three months ended September 30, 2026 compared to the three months ended September 30, 2025. This change was primarily due to an increase in cash-based compensation and benefits, net of $15.6 million and an increase in operating expenses, net of $15.1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Cash-Based Compensation and Benefits,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cash-based compensation and benefits, net for the three months ended September 30,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76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69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76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w:t>
            </w:r>
          </w:p>
        </w:tc>
        <w:tc>
          <w:tcPr>
            <w:tcW w:w="1300" w:type="dxa"/>
            <w:vAlign w:val="bottom"/>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100,486</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96,761</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Bonuses</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84,462</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81,168</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and other</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47,479</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35,531</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Reimbursements</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(31,297)</w:t>
            </w: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(27,956)</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Cash-Based Compensation and Benefits, Net</w:t>
            </w:r>
          </w:p>
        </w:tc>
        <w:tc>
          <w:tcPr>
            <w:tcW w:w="1300" w:type="dxa"/>
            <w:vAlign w:val="bottom"/>
            <w:tcBorders>
              <w:bottom w:val="single" w:sz="8" w:color="auto"/>
            </w:tcBorders>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201,130</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185,504</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Total cash-based compensation and benefits, net increased $15.6 million, or 8%, for the three months ended September 30, 2026 compared to the three months ended September 30, 2025, primarily driven by higher salary and benefit costs resulting from an increase in headcount to support our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Fee-Related Performance Compensation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fee-related performance compensation for the three months ended September 30,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54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66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2026</w:t>
            </w: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right"/>
              <w:ind w:right="79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66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360" w:type="dxa"/>
            <w:vAlign w:val="bottom"/>
            <w:shd w:val="clear" w:color="auto" w:fill="CCEEFF"/>
          </w:tcPr>
          <w:p>
            <w:pPr>
              <w:jc w:val="right"/>
              <w:ind w:right="117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Fee-related Performance Compensation</w:t>
            </w:r>
          </w:p>
        </w:tc>
        <w:tc>
          <w:tcPr>
            <w:tcW w:w="1360" w:type="dxa"/>
            <w:vAlign w:val="bottom"/>
            <w:tcBorders>
              <w:bottom w:val="single" w:sz="8" w:color="auto"/>
            </w:tcBorders>
            <w:shd w:val="clear" w:color="auto" w:fill="CCEEFF"/>
          </w:tcPr>
          <w:p>
            <w:pPr>
              <w:jc w:val="right"/>
              <w:ind w:right="117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1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Total fee-related performance compensation increased $1.6 million, or 43%, for the three months ended September 30, 2026 compared to the three months ended September 30, 2025, primarily driven by the increase in fee-related performance revenues from TCAP that drive compensation attributable to our partners and professionals.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Net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Operating expenses, net includes general and administrative expenses as well as reimbursements for professional services and travel expenses related to investment management and advisory services provided to TPG funds and monitoring services provided to our portfolio companies. Operating expenses, net increased $15.1 million, or 16%, for the three months ended September 30, 2026 compared to the three months ended September 30, 2025. This change was primarily due to an increase in professional fees and travel expenses.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Realized Performance Allocations,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realized performance allocations, net from our platforms for the three months ended September 30,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50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70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2026</w:t>
            </w: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75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70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360" w:type="dxa"/>
            <w:vAlign w:val="bottom"/>
            <w:shd w:val="clear" w:color="auto" w:fill="CCEEFF"/>
          </w:tcPr>
          <w:p>
            <w:pPr>
              <w:jc w:val="right"/>
              <w:ind w:right="117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18,204</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1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Realized Performance Allocations, Net</w:t>
            </w:r>
          </w:p>
        </w:tc>
        <w:tc>
          <w:tcPr>
            <w:tcW w:w="1360" w:type="dxa"/>
            <w:vAlign w:val="bottom"/>
            <w:tcBorders>
              <w:bottom w:val="single" w:sz="8" w:color="auto"/>
            </w:tcBorders>
            <w:shd w:val="clear" w:color="auto" w:fill="CCEEFF"/>
          </w:tcPr>
          <w:p>
            <w:pPr>
              <w:jc w:val="right"/>
              <w:ind w:right="117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30,424</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Realized performance allocations, net of $6.7 million for the three months ended September 30, 2026 were generated primarily from realizations of $1.4 million from TTAD II and $0.7 million from Growth IV in the Growth platform and $2.2 million from MMDL V in the Credit platform. The activity consisted of realizations sourced from portfolio companies including SpaceX and Calm.com.</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Realized performance allocations, net of $30.4 million for the three months ended September 30, 2025 were generated primarily from realizations of $9.5 million from Asia VIII and $8.6 million from Asia VII in the Capital platform, $1.9 million from TTAD II in the Growth platform and $2.0 million from MMDL V and $1.2 million from MMDL II in the Credit platform. The activity consisted of realizations sourced from portfolio companies including Samhwa Co., Ltd and Sai Life Sciences.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Realized Investment Income and Other,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realized investment income and other, net for the three months ended September 30,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46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74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4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74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300" w:type="dxa"/>
            <w:vAlign w:val="bottom"/>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12,058</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26,230</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Non-core expense</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(19,114)</w:t>
            </w: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(23,542)</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Realized Investment Income and Other, Net</w:t>
            </w:r>
          </w:p>
        </w:tc>
        <w:tc>
          <w:tcPr>
            <w:tcW w:w="1300" w:type="dxa"/>
            <w:vAlign w:val="bottom"/>
            <w:tcBorders>
              <w:bottom w:val="single" w:sz="8" w:color="auto"/>
            </w:tcBorders>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1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change in realized investment income and other, net of $9.7 million during the three months ended September 30, 2026 compared to the three months ended September 30, 2025 is primarily due to a decrease in realizations from certain investments, partially offset by a decrease in our non-core expense. Our non-core activity includes expenses of $14.1 million related to our unoccupied lease space and $1.2 million related to strategic transaction and integration activity for the three months ended September 30,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Depreciation expense decreased $0.3 million for the three months ended September 30, 2026 compared to the three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interest expense, net for the three months ended September 30,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500" w:type="dxa"/>
            <w:vAlign w:val="bottom"/>
            <w:tcBorders>
              <w:bottom w:val="single" w:sz="8" w:color="auto"/>
            </w:tcBorders>
            <w:gridSpan w:val="4"/>
          </w:tcPr>
          <w:p>
            <w:pPr>
              <w:jc w:val="center"/>
              <w:ind w:left="615"/>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70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2026</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center"/>
              <w:ind w:right="55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70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340" w:type="dxa"/>
            <w:vAlign w:val="bottom"/>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35,392</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32,773</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(5,574)</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(9,547)</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Interest Expense, Net</w:t>
            </w:r>
          </w:p>
        </w:tc>
        <w:tc>
          <w:tcPr>
            <w:tcW w:w="1340" w:type="dxa"/>
            <w:vAlign w:val="bottom"/>
            <w:tcBorders>
              <w:bottom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29,818</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23,226</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Interest expense, net increased $6.6 million for the three months ended September 30, 2026 compared to the three months ended September 30, 2025, primarily due to an increase in outstanding principal balances on our debt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Distributable Earnings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increase in DE for the three months ended September 30, 2026 compared to the three months ended September 30, 2025 was primarily due to an increase in FRE, partially offset by a decrease in realized performance allocations, net and an increase in interest expense, net.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Income taxes increased $6.1 million, or 40%, for the three months ended September 30, 2026 compared to the three months ended September 30, 2025 primarily due to an increase in the current payable under the Tax Receivable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2026 Compared to Nine Months Ended September 30,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Fee-Related Revenues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Fee-related revenues increased $342.7 million, or 23%, for the nine months ended September 30, 2026 compared to the nine months ended September 30, 2025. The increase was primarily due to additional management fees of $239.9 million and an increase in transaction, monitoring and other fees, net of $95.4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Fees</w:t>
      </w:r>
    </w:p>
    <w:p>
      <w:pPr>
        <w:spacing w:after="0" w:line="2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management fees in our platforms for the nine months ended September 30,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82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2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82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220" w:type="dxa"/>
            <w:vAlign w:val="bottom"/>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452,092</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362,719</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161,187</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181,974</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268,411</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198,404</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306,872</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251,547</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251,906</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266,741</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124,371</w:t>
            </w:r>
          </w:p>
        </w:tc>
        <w:tc>
          <w:tcPr>
            <w:tcW w:w="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63,576</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Management Fees</w:t>
            </w:r>
          </w:p>
        </w:tc>
        <w:tc>
          <w:tcPr>
            <w:tcW w:w="1220" w:type="dxa"/>
            <w:vAlign w:val="bottom"/>
            <w:tcBorders>
              <w:bottom w:val="single" w:sz="8" w:color="auto"/>
            </w:tcBorders>
            <w:shd w:val="clear" w:color="auto" w:fill="CCEEFF"/>
          </w:tcPr>
          <w:p>
            <w:pPr>
              <w:jc w:val="right"/>
              <w:ind w:right="103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1,564,839</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1,324,961</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$239.9 million increase in management fees during the nine months ended September 30, 2026 compared to the nine months ended September 30, 2025 is attributable to:</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80" w:hanging="486"/>
        <w:spacing w:after="0" w:line="266"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$89.4 million from our Capital platform primarily driven by fees earned from TPG X following its activation during the third quarter of 2025 and THP III following its activation during the first quarter of 2026, partially offset by a step-down in the fee basis of TPG IX from committed to invested capital in the fourth quarter of 2025;</w:t>
      </w:r>
    </w:p>
    <w:p>
      <w:pPr>
        <w:spacing w:after="0" w:line="175" w:lineRule="exact"/>
        <w:rPr>
          <w:rFonts w:ascii="Times New Roman" w:cs="Times New Roman" w:eastAsia="Times New Roman" w:hAnsi="Times New Roman"/>
          <w:sz w:val="18"/>
          <w:szCs w:val="18"/>
          <w:color w:val="auto"/>
        </w:rPr>
      </w:pPr>
    </w:p>
    <w:p>
      <w:pPr>
        <w:jc w:val="both"/>
        <w:ind w:left="980" w:right="20" w:hanging="486"/>
        <w:spacing w:after="0" w:line="266"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$20.8 million from our Growth platform primarily driven by catch-up fees earned from Growth VI during the nine months ended September 30, 2025, partially offset by management fees earned from TECA resulting from new capital raised during the nine months ended September 30, 2026;</w:t>
      </w:r>
    </w:p>
    <w:p>
      <w:pPr>
        <w:spacing w:after="0" w:line="17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$70.0 million from our Impact platform primarily driven by catch-up fees earned from Rise Climate II and Rise Climate TI during the nine months ended September 30, 2026;</w:t>
      </w:r>
    </w:p>
    <w:p>
      <w:pPr>
        <w:spacing w:after="0" w:line="16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$55.3 million from our Credit platform primarily driven by a higher fee basis across Credit Solutions III, MMDL V, ABC Fund II and ABC Evergreen as a result of new investments;</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$14.8 million from our Real Estate platform primarily driven by catch-up fees earned from Europe Realty IV during the nine months ended September 30, 2025 and a decrease in the fee basis of Net Lease Realty III; and</w:t>
      </w:r>
    </w:p>
    <w:p>
      <w:pPr>
        <w:spacing w:after="0" w:line="16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$60.8 million from our Market Solutions platform primarily due to additional management fees from TPG Peppertree, which was acquired in July 2025, TGS II following its activation in the third quarter of 2025 and T-POP following its launch in June 2025.</w:t>
      </w:r>
    </w:p>
    <w:p>
      <w:pPr>
        <w:spacing w:after="0" w:line="16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Catch-up fees totaled $69.4 million during the nine months ended September 30, 2026 and primarily consisted of $28.4 million for Rise Climate II, $20.3 million for TPG X and $6.7 million for Rise Climate TI.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Fee-Related Performance Revenues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fee-related performance revenues for the nine months ended September 30,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48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72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2026</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73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72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340" w:type="dxa"/>
            <w:vAlign w:val="bottom"/>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27,634</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20,309</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Fee-Related Performance Revenues</w:t>
            </w:r>
          </w:p>
        </w:tc>
        <w:tc>
          <w:tcPr>
            <w:tcW w:w="1340" w:type="dxa"/>
            <w:vAlign w:val="bottom"/>
            <w:tcBorders>
              <w:bottom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27,667</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3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20,309</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Fee-related performance revenues increased $7.4 million, or 36%, for the nine months ended September 30, 2026 compared to the nine months ended September 30, 2025 primarily driven by higher incentive fees from TCAP.</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Monitoring and Other Fees,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transaction, monitoring and other fees, net in our platforms for the nine months ended September 30, 2026 and 2025:</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3440" w:type="dxa"/>
            <w:vAlign w:val="bottom"/>
            <w:tcBorders>
              <w:bottom w:val="single" w:sz="8" w:color="auto"/>
            </w:tcBorders>
            <w:gridSpan w:val="4"/>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760" w:type="dxa"/>
            <w:vAlign w:val="bottom"/>
            <w:tcBorders>
              <w:bottom w:val="single" w:sz="8" w:color="auto"/>
            </w:tcBorders>
          </w:tcPr>
          <w:p>
            <w:pPr>
              <w:spacing w:after="0"/>
              <w:rPr>
                <w:sz w:val="18"/>
                <w:szCs w:val="18"/>
                <w:color w:val="auto"/>
              </w:rPr>
            </w:pPr>
          </w:p>
        </w:tc>
      </w:tr>
      <w:tr>
        <w:trPr>
          <w:trHeight w:val="211"/>
        </w:trPr>
        <w:tc>
          <w:tcPr>
            <w:tcW w:w="7000" w:type="dxa"/>
            <w:vAlign w:val="bottom"/>
          </w:tcPr>
          <w:p>
            <w:pPr>
              <w:spacing w:after="0"/>
              <w:rPr>
                <w:sz w:val="18"/>
                <w:szCs w:val="18"/>
                <w:color w:val="auto"/>
              </w:rPr>
            </w:pPr>
          </w:p>
        </w:tc>
        <w:tc>
          <w:tcPr>
            <w:tcW w:w="13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2026</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8"/>
                <w:szCs w:val="18"/>
                <w:color w:val="auto"/>
              </w:rPr>
            </w:pPr>
          </w:p>
        </w:tc>
      </w:tr>
      <w:tr>
        <w:trPr>
          <w:trHeight w:val="249"/>
        </w:trPr>
        <w:tc>
          <w:tcPr>
            <w:tcW w:w="70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69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760" w:type="dxa"/>
            <w:vAlign w:val="bottom"/>
            <w:tcBorders>
              <w:bottom w:val="single" w:sz="8" w:color="auto"/>
            </w:tcBorders>
          </w:tcPr>
          <w:p>
            <w:pPr>
              <w:spacing w:after="0"/>
              <w:rPr>
                <w:sz w:val="21"/>
                <w:szCs w:val="21"/>
                <w:color w:val="auto"/>
              </w:rPr>
            </w:pPr>
          </w:p>
        </w:tc>
      </w:tr>
      <w:tr>
        <w:trPr>
          <w:trHeight w:val="22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300" w:type="dxa"/>
            <w:vAlign w:val="bottom"/>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8,911</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6,237</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r>
      <w:tr>
        <w:trPr>
          <w:trHeight w:val="23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199,790</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105,819</w:t>
            </w:r>
          </w:p>
        </w:tc>
      </w:tr>
      <w:tr>
        <w:trPr>
          <w:trHeight w:val="223"/>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Subtotal</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223,213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126,905</w:t>
            </w:r>
          </w:p>
        </w:tc>
      </w:tr>
      <w:tr>
        <w:trPr>
          <w:trHeight w:val="23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8,604</w:t>
            </w:r>
          </w:p>
        </w:tc>
      </w:tr>
      <w:tr>
        <w:trPr>
          <w:trHeight w:val="248"/>
        </w:trPr>
        <w:tc>
          <w:tcPr>
            <w:tcW w:w="7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Transaction, Monitoring and Other Fees, Net</w:t>
            </w:r>
          </w:p>
        </w:tc>
        <w:tc>
          <w:tcPr>
            <w:tcW w:w="1300" w:type="dxa"/>
            <w:vAlign w:val="bottom"/>
            <w:tcBorders>
              <w:bottom w:val="single" w:sz="8" w:color="auto"/>
            </w:tcBorders>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230,938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135,509</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Transaction, monitoring and other fees, net increased $95.4 million, or 70%, for the nine months ended September 30, 2026 compared to the nine months ended September 30, 2025, primarily driven by capital markets activity among our portfolio companies involving our broker-dealer.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Fee-Related Expenses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Fee-related expenses increased $85.9 million, or 10%, for the nine months ended September 30, 2026 compared to the nine months ended September 30, 2025. The increase was primarily due to an increase in cash-based compensation and benefits, net of $62.1 million and an increase in operating expenses, net of $20.0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Cash-Based Compensation and Benefits,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cash-based compensation and benefits, net for the nine months ended September 30, 2026 and 2025:</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3440" w:type="dxa"/>
            <w:vAlign w:val="bottom"/>
            <w:tcBorders>
              <w:bottom w:val="single" w:sz="8" w:color="auto"/>
            </w:tcBorders>
            <w:gridSpan w:val="4"/>
          </w:tcPr>
          <w:p>
            <w:pPr>
              <w:jc w:val="center"/>
              <w:ind w:left="695"/>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760" w:type="dxa"/>
            <w:vAlign w:val="bottom"/>
            <w:tcBorders>
              <w:bottom w:val="single" w:sz="8" w:color="auto"/>
            </w:tcBorders>
          </w:tcPr>
          <w:p>
            <w:pPr>
              <w:spacing w:after="0"/>
              <w:rPr>
                <w:sz w:val="18"/>
                <w:szCs w:val="18"/>
                <w:color w:val="auto"/>
              </w:rPr>
            </w:pPr>
          </w:p>
        </w:tc>
      </w:tr>
      <w:tr>
        <w:trPr>
          <w:trHeight w:val="211"/>
        </w:trPr>
        <w:tc>
          <w:tcPr>
            <w:tcW w:w="7000" w:type="dxa"/>
            <w:vAlign w:val="bottom"/>
          </w:tcPr>
          <w:p>
            <w:pPr>
              <w:spacing w:after="0"/>
              <w:rPr>
                <w:sz w:val="18"/>
                <w:szCs w:val="18"/>
                <w:color w:val="auto"/>
              </w:rPr>
            </w:pPr>
          </w:p>
        </w:tc>
        <w:tc>
          <w:tcPr>
            <w:tcW w:w="13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2026</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8"/>
                <w:szCs w:val="18"/>
                <w:color w:val="auto"/>
              </w:rPr>
            </w:pPr>
          </w:p>
        </w:tc>
      </w:tr>
      <w:tr>
        <w:trPr>
          <w:trHeight w:val="249"/>
        </w:trPr>
        <w:tc>
          <w:tcPr>
            <w:tcW w:w="70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center"/>
              <w:ind w:right="43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760" w:type="dxa"/>
            <w:vAlign w:val="bottom"/>
            <w:tcBorders>
              <w:bottom w:val="single" w:sz="8" w:color="auto"/>
            </w:tcBorders>
          </w:tcPr>
          <w:p>
            <w:pPr>
              <w:spacing w:after="0"/>
              <w:rPr>
                <w:sz w:val="21"/>
                <w:szCs w:val="21"/>
                <w:color w:val="auto"/>
              </w:rPr>
            </w:pPr>
          </w:p>
        </w:tc>
      </w:tr>
      <w:tr>
        <w:trPr>
          <w:trHeight w:val="22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w:t>
            </w:r>
          </w:p>
        </w:tc>
        <w:tc>
          <w:tcPr>
            <w:tcW w:w="1300" w:type="dxa"/>
            <w:vAlign w:val="bottom"/>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297,014</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282,049</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Bonuses</w:t>
            </w:r>
          </w:p>
        </w:tc>
        <w:tc>
          <w:tcPr>
            <w:tcW w:w="1300" w:type="dxa"/>
            <w:vAlign w:val="bottom"/>
          </w:tcPr>
          <w:p>
            <w:pPr>
              <w:spacing w:after="0"/>
              <w:rPr>
                <w:sz w:val="19"/>
                <w:szCs w:val="19"/>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251,975</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238,590</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and other</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151,082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116,104</w:t>
            </w:r>
          </w:p>
        </w:tc>
      </w:tr>
      <w:tr>
        <w:trPr>
          <w:trHeight w:val="229"/>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Reimbursements</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(84,547)</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(83,345)</w:t>
            </w:r>
          </w:p>
        </w:tc>
      </w:tr>
      <w:tr>
        <w:trPr>
          <w:trHeight w:val="248"/>
        </w:trPr>
        <w:tc>
          <w:tcPr>
            <w:tcW w:w="7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Cash-Based Compensation and Benefits, Net</w:t>
            </w:r>
          </w:p>
        </w:tc>
        <w:tc>
          <w:tcPr>
            <w:tcW w:w="1300" w:type="dxa"/>
            <w:vAlign w:val="bottom"/>
            <w:tcBorders>
              <w:bottom w:val="single" w:sz="8" w:color="auto"/>
            </w:tcBorders>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615,524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553,398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Total cash-based compensation and benefits, net increased $62.1 million, or 11%, for the nine months ended September 30, 2026 compared to the nine months ended September 30, 2025, primarily driven by higher salary and benefit costs resulting from an increase in headcount to support our growth.</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Fee-Related Performance Compensation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fee-related performance compensation for the nine months ended September 30,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48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72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2026</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Borders>
              <w:bottom w:val="single" w:sz="8" w:color="auto"/>
            </w:tcBorders>
          </w:tcPr>
          <w:p>
            <w:pPr>
              <w:spacing w:after="0"/>
              <w:rPr>
                <w:sz w:val="18"/>
                <w:szCs w:val="18"/>
                <w:color w:val="auto"/>
              </w:rPr>
            </w:pPr>
          </w:p>
        </w:tc>
      </w:tr>
      <w:tr>
        <w:trPr>
          <w:trHeight w:val="249"/>
        </w:trPr>
        <w:tc>
          <w:tcPr>
            <w:tcW w:w="704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73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72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340" w:type="dxa"/>
            <w:vAlign w:val="bottom"/>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10,155</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Fee-related Performance Compensation</w:t>
            </w:r>
          </w:p>
        </w:tc>
        <w:tc>
          <w:tcPr>
            <w:tcW w:w="1340" w:type="dxa"/>
            <w:vAlign w:val="bottom"/>
            <w:tcBorders>
              <w:bottom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13,833</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3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10,155</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Total fee-related performance compensation increased $3.7 million, or 36%, for the nine months ended September 30, 2026 compared to the nine months ended September 30, 2025, primarily driven by the increase in fee-related performance revenues from TCAP that drive compensation attributable to our partners and professionals.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Net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Operating expenses, net includes general and administrative expenses as well as reimbursements for professional services and travel expenses related to investment management and advisory services provided to TPG funds and monitoring services provided to our portfolio companies. Operating expenses, net increased $20.0 million, or 7%, for the nine months ended September 30, 2026 compared to the nine months ended September 30, 2025. This change was primarily due to an increase in professional fees and travel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Realized Performance Allocations,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realized performance allocations, net from our platforms for the nine months ended September 30, 2026 and 2025:</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3440" w:type="dxa"/>
            <w:vAlign w:val="bottom"/>
            <w:tcBorders>
              <w:bottom w:val="single" w:sz="8" w:color="auto"/>
            </w:tcBorders>
            <w:gridSpan w:val="4"/>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760" w:type="dxa"/>
            <w:vAlign w:val="bottom"/>
            <w:tcBorders>
              <w:bottom w:val="single" w:sz="8" w:color="auto"/>
            </w:tcBorders>
          </w:tcPr>
          <w:p>
            <w:pPr>
              <w:spacing w:after="0"/>
              <w:rPr>
                <w:sz w:val="18"/>
                <w:szCs w:val="18"/>
                <w:color w:val="auto"/>
              </w:rPr>
            </w:pPr>
          </w:p>
        </w:tc>
      </w:tr>
      <w:tr>
        <w:trPr>
          <w:trHeight w:val="211"/>
        </w:trPr>
        <w:tc>
          <w:tcPr>
            <w:tcW w:w="7000" w:type="dxa"/>
            <w:vAlign w:val="bottom"/>
          </w:tcPr>
          <w:p>
            <w:pPr>
              <w:spacing w:after="0"/>
              <w:rPr>
                <w:sz w:val="18"/>
                <w:szCs w:val="18"/>
                <w:color w:val="auto"/>
              </w:rPr>
            </w:pPr>
          </w:p>
        </w:tc>
        <w:tc>
          <w:tcPr>
            <w:tcW w:w="13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2026</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60" w:type="dxa"/>
            <w:vAlign w:val="bottom"/>
            <w:tcBorders>
              <w:bottom w:val="single" w:sz="8" w:color="auto"/>
            </w:tcBorders>
          </w:tcPr>
          <w:p>
            <w:pPr>
              <w:spacing w:after="0"/>
              <w:rPr>
                <w:sz w:val="18"/>
                <w:szCs w:val="18"/>
                <w:color w:val="auto"/>
              </w:rPr>
            </w:pPr>
          </w:p>
        </w:tc>
      </w:tr>
      <w:tr>
        <w:trPr>
          <w:trHeight w:val="249"/>
        </w:trPr>
        <w:tc>
          <w:tcPr>
            <w:tcW w:w="70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ind w:right="69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760" w:type="dxa"/>
            <w:vAlign w:val="bottom"/>
            <w:tcBorders>
              <w:bottom w:val="single" w:sz="8" w:color="auto"/>
            </w:tcBorders>
          </w:tcPr>
          <w:p>
            <w:pPr>
              <w:spacing w:after="0"/>
              <w:rPr>
                <w:sz w:val="21"/>
                <w:szCs w:val="21"/>
                <w:color w:val="auto"/>
              </w:rPr>
            </w:pPr>
          </w:p>
        </w:tc>
      </w:tr>
      <w:tr>
        <w:trPr>
          <w:trHeight w:val="22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300" w:type="dxa"/>
            <w:vAlign w:val="bottom"/>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76,189</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29,764</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44,727</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16,358</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24,807</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w:t>
            </w:r>
          </w:p>
        </w:tc>
      </w:tr>
      <w:tr>
        <w:trPr>
          <w:trHeight w:val="23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w:t>
            </w:r>
          </w:p>
        </w:tc>
      </w:tr>
      <w:tr>
        <w:trPr>
          <w:trHeight w:val="248"/>
        </w:trPr>
        <w:tc>
          <w:tcPr>
            <w:tcW w:w="7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Realized Performance Allocations, Net</w:t>
            </w:r>
          </w:p>
        </w:tc>
        <w:tc>
          <w:tcPr>
            <w:tcW w:w="1300" w:type="dxa"/>
            <w:vAlign w:val="bottom"/>
            <w:tcBorders>
              <w:bottom w:val="single" w:sz="8" w:color="auto"/>
            </w:tcBorders>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109,792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157,082</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Realized performance allocations, net of $109.8 million for the nine months ended September 30, 2026 were largely generated from realizations of $29.0 million from TPG IX and $12.1 million from THP II in the Capital platform, $18.1 million from TDM and $8.5 million from Growth V in the Growth platform, $11.5 million from Rise Climate I in the Impact platform, $6.3 million from MMDL V in the Credit platform and $3.4 million from Net Lease Realty III in the Real Estate platform. The activity consisted of realizations sourced from portfolio companies including OneOncology, Intersect Power and Anovo.</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Realized performance allocations, net of $157.1 million for the nine months ended September 30, 2025 were largely generated from realizations of $48.0 million from TPG VII and $9.8 million from TPG VIII in the Capital platform, $41.7 million from Growth IV in the Growth platform, $4.5 million from Rise Climate I in the Impact platform, $4.2 million from MMDL V, $4.0 million from MMDL IV and $3.9 million from Credit Solutions II in the Credit platform and $2.1 million from TREP III in the Real Estate platform. The activity consisted of realizations sourced from portfolio companies including Viking Cruises, Crunch Fitness, DirecTV, Q-Centrix and Nextracker.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Realized Investment Income and Other, Net</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realized investment income and other, net for the nine months ended September 30, 2026 and 2025:</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346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740" w:type="dxa"/>
            <w:vAlign w:val="bottom"/>
            <w:tcBorders>
              <w:bottom w:val="single" w:sz="8" w:color="auto"/>
            </w:tcBorders>
          </w:tcPr>
          <w:p>
            <w:pPr>
              <w:spacing w:after="0"/>
              <w:rPr>
                <w:sz w:val="18"/>
                <w:szCs w:val="18"/>
                <w:color w:val="auto"/>
              </w:rPr>
            </w:pPr>
          </w:p>
        </w:tc>
      </w:tr>
      <w:tr>
        <w:trPr>
          <w:trHeight w:val="211"/>
        </w:trPr>
        <w:tc>
          <w:tcPr>
            <w:tcW w:w="7000" w:type="dxa"/>
            <w:vAlign w:val="bottom"/>
          </w:tcPr>
          <w:p>
            <w:pPr>
              <w:spacing w:after="0"/>
              <w:rPr>
                <w:sz w:val="18"/>
                <w:szCs w:val="18"/>
                <w:color w:val="auto"/>
              </w:rPr>
            </w:pPr>
          </w:p>
        </w:tc>
        <w:tc>
          <w:tcPr>
            <w:tcW w:w="13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2026</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40" w:type="dxa"/>
            <w:vAlign w:val="bottom"/>
            <w:tcBorders>
              <w:bottom w:val="single" w:sz="8" w:color="auto"/>
            </w:tcBorders>
          </w:tcPr>
          <w:p>
            <w:pPr>
              <w:spacing w:after="0"/>
              <w:rPr>
                <w:sz w:val="18"/>
                <w:szCs w:val="18"/>
                <w:color w:val="auto"/>
              </w:rPr>
            </w:pPr>
          </w:p>
        </w:tc>
      </w:tr>
      <w:tr>
        <w:trPr>
          <w:trHeight w:val="249"/>
        </w:trPr>
        <w:tc>
          <w:tcPr>
            <w:tcW w:w="70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740" w:type="dxa"/>
            <w:vAlign w:val="bottom"/>
            <w:tcBorders>
              <w:bottom w:val="single" w:sz="8" w:color="auto"/>
            </w:tcBorders>
          </w:tcPr>
          <w:p>
            <w:pPr>
              <w:spacing w:after="0"/>
              <w:rPr>
                <w:sz w:val="21"/>
                <w:szCs w:val="21"/>
                <w:color w:val="auto"/>
              </w:rPr>
            </w:pPr>
          </w:p>
        </w:tc>
      </w:tr>
      <w:tr>
        <w:trPr>
          <w:trHeight w:val="22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300" w:type="dxa"/>
            <w:vAlign w:val="bottom"/>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48,743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65,235</w:t>
            </w:r>
          </w:p>
        </w:tc>
      </w:tr>
      <w:tr>
        <w:trPr>
          <w:trHeight w:val="229"/>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Non-core expense</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rPr>
              <w:t>(60,770)</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(72,225)</w:t>
            </w:r>
          </w:p>
        </w:tc>
      </w:tr>
      <w:tr>
        <w:trPr>
          <w:trHeight w:val="248"/>
        </w:trPr>
        <w:tc>
          <w:tcPr>
            <w:tcW w:w="7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Realized Investment Income and Other, Net</w:t>
            </w:r>
          </w:p>
        </w:tc>
        <w:tc>
          <w:tcPr>
            <w:tcW w:w="1300" w:type="dxa"/>
            <w:vAlign w:val="bottom"/>
            <w:tcBorders>
              <w:bottom w:val="single" w:sz="8" w:color="auto"/>
            </w:tcBorders>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(12,027)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1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decrease in realized investment income and other, net of $5.0 million during the nine months ended September 30, 2026 compared to the nine months ended September 30, 2025 resulted from decreases in realizations, partially offset by a decrease in our non-core expense. Our non-core activity includes expenses of $40.7 million related to our unoccupied lease space and $9.8 million related to strategic transaction and integration activity during the nine months ended September 30,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Depreciation expense increased $1.1 million for the nine months ended September 30, 2026 compared to the nine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interest expense, net for the nine months ended September 30, 2026 and 2025:</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346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740" w:type="dxa"/>
            <w:vAlign w:val="bottom"/>
            <w:tcBorders>
              <w:bottom w:val="single" w:sz="8" w:color="auto"/>
            </w:tcBorders>
          </w:tcPr>
          <w:p>
            <w:pPr>
              <w:spacing w:after="0"/>
              <w:rPr>
                <w:sz w:val="18"/>
                <w:szCs w:val="18"/>
                <w:color w:val="auto"/>
              </w:rPr>
            </w:pPr>
          </w:p>
        </w:tc>
      </w:tr>
      <w:tr>
        <w:trPr>
          <w:trHeight w:val="211"/>
        </w:trPr>
        <w:tc>
          <w:tcPr>
            <w:tcW w:w="7000" w:type="dxa"/>
            <w:vAlign w:val="bottom"/>
          </w:tcPr>
          <w:p>
            <w:pPr>
              <w:spacing w:after="0"/>
              <w:rPr>
                <w:sz w:val="18"/>
                <w:szCs w:val="18"/>
                <w:color w:val="auto"/>
              </w:rPr>
            </w:pPr>
          </w:p>
        </w:tc>
        <w:tc>
          <w:tcPr>
            <w:tcW w:w="13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2026</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740" w:type="dxa"/>
            <w:vAlign w:val="bottom"/>
            <w:tcBorders>
              <w:bottom w:val="single" w:sz="8" w:color="auto"/>
            </w:tcBorders>
          </w:tcPr>
          <w:p>
            <w:pPr>
              <w:spacing w:after="0"/>
              <w:rPr>
                <w:sz w:val="18"/>
                <w:szCs w:val="18"/>
                <w:color w:val="auto"/>
              </w:rPr>
            </w:pPr>
          </w:p>
        </w:tc>
      </w:tr>
      <w:tr>
        <w:trPr>
          <w:trHeight w:val="249"/>
        </w:trPr>
        <w:tc>
          <w:tcPr>
            <w:tcW w:w="70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740" w:type="dxa"/>
            <w:vAlign w:val="bottom"/>
            <w:tcBorders>
              <w:bottom w:val="single" w:sz="8" w:color="auto"/>
            </w:tcBorders>
          </w:tcPr>
          <w:p>
            <w:pPr>
              <w:spacing w:after="0"/>
              <w:rPr>
                <w:sz w:val="21"/>
                <w:szCs w:val="21"/>
                <w:color w:val="auto"/>
              </w:rPr>
            </w:pPr>
          </w:p>
        </w:tc>
      </w:tr>
      <w:tr>
        <w:trPr>
          <w:trHeight w:val="22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104,272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82,148</w:t>
            </w:r>
          </w:p>
        </w:tc>
      </w:tr>
      <w:tr>
        <w:trPr>
          <w:trHeight w:val="23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(18,744)</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(27,225)</w:t>
            </w:r>
          </w:p>
        </w:tc>
      </w:tr>
      <w:tr>
        <w:trPr>
          <w:trHeight w:val="248"/>
        </w:trPr>
        <w:tc>
          <w:tcPr>
            <w:tcW w:w="7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Interest Expense, Net</w:t>
            </w:r>
          </w:p>
        </w:tc>
        <w:tc>
          <w:tcPr>
            <w:tcW w:w="1300" w:type="dxa"/>
            <w:vAlign w:val="bottom"/>
            <w:tcBorders>
              <w:bottom w:val="single" w:sz="8" w:color="auto"/>
            </w:tcBorders>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1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54,923</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Interest expense, net increased $30.6 million for the nine months ended September 30, 2026 compared to the nine months ended September 30, 2025, primarily driven by an increase in outstanding principal balances on our debt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Distributable Earnings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increase in DE for the nine months ended September 30, 2026 compared to the nine months ended September 30, 2025 was primarily due to an increase in FRE, partially offset by a decrease in realized performance allocations, net and an increase in interest expense, net.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Income taxes increased $15.5 million, or 42%, for the nine months ended September 30, 2026 compared to the nine months ended September 30, 2025 primarily due to an increase in our current payable under our Tax Receivable Agreement.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to U.S. GAAP Measures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reconcile the most directly comparable financial measures calculated and presented in accordance with U.S. GAAP to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financial measures for the three and nine months ended September 30, 2026 and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6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8"/>
                <w:szCs w:val="18"/>
                <w:color w:val="auto"/>
              </w:rPr>
            </w:pPr>
          </w:p>
        </w:tc>
        <w:tc>
          <w:tcPr>
            <w:tcW w:w="2840" w:type="dxa"/>
            <w:vAlign w:val="bottom"/>
            <w:gridSpan w:val="4"/>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50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49"/>
        </w:trPr>
        <w:tc>
          <w:tcPr>
            <w:tcW w:w="50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Revenue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1,221,112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1,223,517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3,562,542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3,178,930</w:t>
            </w:r>
          </w:p>
        </w:tc>
        <w:tc>
          <w:tcPr>
            <w:tcW w:w="0" w:type="dxa"/>
            <w:vAlign w:val="bottom"/>
          </w:tcPr>
          <w:p>
            <w:pPr>
              <w:spacing w:after="0"/>
              <w:rPr>
                <w:sz w:val="1"/>
                <w:szCs w:val="1"/>
                <w:color w:val="auto"/>
              </w:rPr>
            </w:pPr>
          </w:p>
        </w:tc>
      </w:tr>
      <w:tr>
        <w:trPr>
          <w:trHeight w:val="229"/>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Capital-allocation based income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(627,018)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(1,524,808)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(1,469,902)</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Expense reimbursements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(202,142)</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Investment income and other</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(26,107)</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Fee-Related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1,823,444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1,480,779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Expenses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5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24"/>
                <w:szCs w:val="24"/>
                <w:color w:val="auto"/>
              </w:rPr>
            </w:pPr>
          </w:p>
        </w:tc>
        <w:tc>
          <w:tcPr>
            <w:tcW w:w="2840" w:type="dxa"/>
            <w:vAlign w:val="bottom"/>
            <w:gridSpan w:val="4"/>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50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49"/>
        </w:trPr>
        <w:tc>
          <w:tcPr>
            <w:tcW w:w="50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Expenses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1,035,814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1,031,323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3,181,758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2,869,314</w:t>
            </w:r>
          </w:p>
        </w:tc>
        <w:tc>
          <w:tcPr>
            <w:tcW w:w="0" w:type="dxa"/>
            <w:vAlign w:val="bottom"/>
          </w:tcPr>
          <w:p>
            <w:pPr>
              <w:spacing w:after="0"/>
              <w:rPr>
                <w:sz w:val="1"/>
                <w:szCs w:val="1"/>
                <w:color w:val="auto"/>
              </w:rPr>
            </w:pPr>
          </w:p>
        </w:tc>
      </w:tr>
      <w:tr>
        <w:trPr>
          <w:trHeight w:val="23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(103,225)</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(81,690)</w:t>
            </w:r>
          </w:p>
        </w:tc>
        <w:tc>
          <w:tcPr>
            <w:tcW w:w="0" w:type="dxa"/>
            <w:vAlign w:val="bottom"/>
          </w:tcPr>
          <w:p>
            <w:pPr>
              <w:spacing w:after="0"/>
              <w:rPr>
                <w:sz w:val="1"/>
                <w:szCs w:val="1"/>
                <w:color w:val="auto"/>
              </w:rPr>
            </w:pPr>
          </w:p>
        </w:tc>
      </w:tr>
      <w:tr>
        <w:trPr>
          <w:trHeight w:val="229"/>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Expense reimbursements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(202,142)</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Performance allocation compensation</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(1,045,070)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(951,562)</w:t>
            </w:r>
          </w:p>
        </w:tc>
        <w:tc>
          <w:tcPr>
            <w:tcW w:w="0" w:type="dxa"/>
            <w:vAlign w:val="bottom"/>
          </w:tcPr>
          <w:p>
            <w:pPr>
              <w:spacing w:after="0"/>
              <w:rPr>
                <w:sz w:val="1"/>
                <w:szCs w:val="1"/>
                <w:color w:val="auto"/>
              </w:rPr>
            </w:pPr>
          </w:p>
        </w:tc>
      </w:tr>
      <w:tr>
        <w:trPr>
          <w:trHeight w:val="23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(700,498)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(573,836)</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 success fee</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Non-core expenses and other</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(98,160)</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Fee-Related Expenses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940,552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854,699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60" w:type="dxa"/>
            <w:vAlign w:val="bottom"/>
            <w:gridSpan w:val="8"/>
          </w:tcPr>
          <w:p>
            <w:pPr>
              <w:ind w:left="3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50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980" w:type="dxa"/>
            <w:vAlign w:val="bottom"/>
            <w:tcBorders>
              <w:top w:val="single" w:sz="8" w:color="auto"/>
              <w:bottom w:val="single" w:sz="8" w:color="auto"/>
            </w:tcBorders>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0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3"/>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263,845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199,230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460,242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317,169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attributable to other non-controlling interests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(97,715)</w:t>
            </w:r>
          </w:p>
        </w:tc>
        <w:tc>
          <w:tcPr>
            <w:tcW w:w="100" w:type="dxa"/>
            <w:vAlign w:val="bottom"/>
          </w:tcPr>
          <w:p>
            <w:pPr>
              <w:spacing w:after="0"/>
              <w:rPr>
                <w:sz w:val="19"/>
                <w:szCs w:val="19"/>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(163,503)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(218,284)</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expense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33,111</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213,631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160,133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5"/>
              </w:rPr>
              <w:t>701,937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585,175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performance allocations,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(85,812)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(84,419)</w:t>
            </w:r>
          </w:p>
        </w:tc>
        <w:tc>
          <w:tcPr>
            <w:tcW w:w="10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(116,903)</w:t>
            </w:r>
          </w:p>
        </w:tc>
        <w:tc>
          <w:tcPr>
            <w:tcW w:w="0" w:type="dxa"/>
            <w:vAlign w:val="bottom"/>
          </w:tcPr>
          <w:p>
            <w:pPr>
              <w:spacing w:after="0"/>
              <w:rPr>
                <w:sz w:val="1"/>
                <w:szCs w:val="1"/>
                <w:color w:val="auto"/>
              </w:rPr>
            </w:pPr>
          </w:p>
        </w:tc>
      </w:tr>
      <w:tr>
        <w:trPr>
          <w:trHeight w:val="23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investment income</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(133,120)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28,439</w:t>
            </w:r>
          </w:p>
        </w:tc>
        <w:tc>
          <w:tcPr>
            <w:tcW w:w="100" w:type="dxa"/>
            <w:vAlign w:val="bottom"/>
          </w:tcPr>
          <w:p>
            <w:pPr>
              <w:spacing w:after="0"/>
              <w:rPr>
                <w:sz w:val="19"/>
                <w:szCs w:val="19"/>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(104,989)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success fee</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Non-recurring and other</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(42,011)</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(19,620)</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After-tax Distributable Earnings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264,814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214,362</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5"/>
              </w:rPr>
              <w:t>826,690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669,388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21,450</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15,312</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Distributable Earnings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286,264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229,674</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5"/>
              </w:rPr>
              <w:t>878,690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705,929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Realized performance allocations,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(30,424)</w:t>
            </w:r>
          </w:p>
        </w:tc>
        <w:tc>
          <w:tcPr>
            <w:tcW w:w="10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(157,082)</w:t>
            </w:r>
          </w:p>
        </w:tc>
        <w:tc>
          <w:tcPr>
            <w:tcW w:w="0" w:type="dxa"/>
            <w:vAlign w:val="bottom"/>
          </w:tcPr>
          <w:p>
            <w:pPr>
              <w:spacing w:after="0"/>
              <w:rPr>
                <w:sz w:val="1"/>
                <w:szCs w:val="1"/>
                <w:color w:val="auto"/>
              </w:rPr>
            </w:pPr>
          </w:p>
        </w:tc>
      </w:tr>
      <w:tr>
        <w:trPr>
          <w:trHeight w:val="229"/>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Realized investment income and other,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expense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29,818</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23,226</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85,528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54,923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Fee-Related Earnings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321,351</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882,892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626,080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Net Accrued Performance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5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5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tcBorders>
              <w:bottom w:val="single" w:sz="8" w:color="auto"/>
            </w:tcBorders>
            <w:gridSpan w:val="3"/>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Investments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10,277,810</w:t>
            </w:r>
          </w:p>
        </w:tc>
        <w:tc>
          <w:tcPr>
            <w:tcW w:w="660" w:type="dxa"/>
            <w:vAlign w:val="bottom"/>
            <w:gridSpan w:val="3"/>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9,211,816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method and other investments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(2,065,863)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(1,902,577)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performance allocation compensation</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(5,934,509)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Impact of other consolidated entities</w:t>
            </w:r>
          </w:p>
        </w:tc>
        <w:tc>
          <w:tcPr>
            <w:tcW w:w="2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w w:val="99"/>
              </w:rPr>
              <w:t>(823,145)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(629,734)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Accrued Performance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1"/>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1,454,293</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1,279,755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ind w:right="711"/>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Metrics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monitor certain operating metrics that are common to the alternative asset management industry and that we believe provide important data regarding our business. The following operating metrics do not include other investments that are not included in the TPG Operating Group.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Under Management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Assets Under Management (“AUM”) represents the sum of:</w:t>
      </w:r>
    </w:p>
    <w:p>
      <w:pPr>
        <w:spacing w:after="0" w:line="225" w:lineRule="exact"/>
        <w:rPr>
          <w:sz w:val="20"/>
          <w:szCs w:val="20"/>
          <w:color w:val="auto"/>
        </w:rPr>
      </w:pPr>
    </w:p>
    <w:p>
      <w:pPr>
        <w:jc w:val="both"/>
        <w:ind w:left="980" w:hanging="486"/>
        <w:spacing w:after="0" w:line="258" w:lineRule="auto"/>
        <w:tabs>
          <w:tab w:leader="none" w:pos="96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the investments and financial instruments held by our private equity, credit and real estate funds (including fund-level asset-related leverage), other than as described below, as well as related co-investment vehicles managed or advised by us, plus the capital that we are entitled to call from investors in those funds and vehicles, pursuant to the terms of their respective capital commitments, net of outstanding leverage associated with subscription-related credit facilities, and including capital commitments to funds that have yet to commence their investment periods;</w:t>
      </w:r>
    </w:p>
    <w:p>
      <w:pPr>
        <w:spacing w:after="0" w:line="18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amount of assets (including leverage where applicable) for our real estate investment trusts and BDCs;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 value of certain of our hedge funds; and</w:t>
      </w:r>
    </w:p>
    <w:p>
      <w:pPr>
        <w:spacing w:after="0" w:line="225" w:lineRule="exact"/>
        <w:rPr>
          <w:rFonts w:ascii="Times New Roman" w:cs="Times New Roman" w:eastAsia="Times New Roman" w:hAnsi="Times New Roman"/>
          <w:sz w:val="18"/>
          <w:szCs w:val="18"/>
          <w:color w:val="auto"/>
        </w:rPr>
      </w:pPr>
    </w:p>
    <w:p>
      <w:pPr>
        <w:ind w:left="960" w:hanging="466"/>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par amount of collateral assets, including principal cash, for our collateralized loan obligation vehicles.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Our definition of AUM is not based on any definition of AUM that may be set forth in the agreements governing the investment funds that we manage, or calculated pursuant to any regulatory definitions.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AUM by platform as of September 30, 2026 and 2025:</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80" w:type="dxa"/>
            <w:vAlign w:val="bottom"/>
            <w:tcBorders>
              <w:bottom w:val="single" w:sz="8" w:color="auto"/>
            </w:tcBorders>
          </w:tcPr>
          <w:p>
            <w:pPr>
              <w:spacing w:after="0"/>
              <w:rPr>
                <w:sz w:val="18"/>
                <w:szCs w:val="18"/>
                <w:color w:val="auto"/>
              </w:rPr>
            </w:pPr>
          </w:p>
        </w:tc>
      </w:tr>
      <w:tr>
        <w:trPr>
          <w:trHeight w:val="211"/>
        </w:trPr>
        <w:tc>
          <w:tcPr>
            <w:tcW w:w="7000" w:type="dxa"/>
            <w:vAlign w:val="bottom"/>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9"/>
        </w:trPr>
        <w:tc>
          <w:tcPr>
            <w:tcW w:w="70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380" w:type="dxa"/>
            <w:vAlign w:val="bottom"/>
            <w:tcBorders>
              <w:bottom w:val="single" w:sz="8" w:color="auto"/>
            </w:tcBorders>
          </w:tcPr>
          <w:p>
            <w:pPr>
              <w:spacing w:after="0"/>
              <w:rPr>
                <w:sz w:val="21"/>
                <w:szCs w:val="21"/>
                <w:color w:val="auto"/>
              </w:rPr>
            </w:pPr>
          </w:p>
        </w:tc>
      </w:tr>
      <w:tr>
        <w:trPr>
          <w:trHeight w:val="22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30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97,731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87,460</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30,627</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29,225</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108,012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85,640</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37,663</w:t>
            </w:r>
          </w:p>
        </w:tc>
      </w:tr>
      <w:tr>
        <w:trPr>
          <w:trHeight w:val="23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22,557</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15,783</w:t>
            </w:r>
          </w:p>
        </w:tc>
      </w:tr>
      <w:tr>
        <w:trPr>
          <w:trHeight w:val="248"/>
        </w:trPr>
        <w:tc>
          <w:tcPr>
            <w:tcW w:w="7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AUM as of end of period</w:t>
            </w:r>
          </w:p>
        </w:tc>
        <w:tc>
          <w:tcPr>
            <w:tcW w:w="1300" w:type="dxa"/>
            <w:vAlign w:val="bottom"/>
            <w:tcBorders>
              <w:bottom w:val="single" w:sz="8" w:color="auto"/>
            </w:tcBorders>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345,697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286,398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rollforwards of our total AUM for the three and nine months ended September 30,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8"/>
                <w:szCs w:val="18"/>
                <w:color w:val="auto"/>
              </w:rPr>
            </w:pPr>
          </w:p>
        </w:tc>
        <w:tc>
          <w:tcPr>
            <w:tcW w:w="2840" w:type="dxa"/>
            <w:vAlign w:val="bottom"/>
            <w:gridSpan w:val="4"/>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0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9"/>
        </w:trPr>
        <w:tc>
          <w:tcPr>
            <w:tcW w:w="50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2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326,777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245,873</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7,927</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Raised</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35,316</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Realizations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(18,545)</w:t>
            </w:r>
          </w:p>
        </w:tc>
      </w:tr>
      <w:tr>
        <w:trPr>
          <w:trHeight w:val="229"/>
        </w:trPr>
        <w:tc>
          <w:tcPr>
            <w:tcW w:w="5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Outflows</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w:t>
            </w:r>
          </w:p>
        </w:tc>
      </w:tr>
      <w:tr>
        <w:trPr>
          <w:trHeight w:val="230"/>
        </w:trPr>
        <w:tc>
          <w:tcPr>
            <w:tcW w:w="50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Changes in Investment Value and Other</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18,511</w:t>
            </w:r>
          </w:p>
        </w:tc>
      </w:tr>
      <w:tr>
        <w:trPr>
          <w:trHeight w:val="248"/>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AUM as of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345,697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286,398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9" w:lineRule="exact"/>
        <w:rPr>
          <w:sz w:val="20"/>
          <w:szCs w:val="20"/>
          <w:color w:val="auto"/>
        </w:rPr>
      </w:pPr>
    </w:p>
    <w:p>
      <w:pPr>
        <w:ind w:left="480" w:hanging="472"/>
        <w:spacing w:after="0"/>
        <w:tabs>
          <w:tab w:leader="none" w:pos="4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Outflows represent redemptions and withdrawals.</w:t>
      </w:r>
    </w:p>
    <w:p>
      <w:pPr>
        <w:spacing w:after="0" w:line="55" w:lineRule="exact"/>
        <w:rPr>
          <w:rFonts w:ascii="Times New Roman" w:cs="Times New Roman" w:eastAsia="Times New Roman" w:hAnsi="Times New Roman"/>
          <w:sz w:val="14"/>
          <w:szCs w:val="14"/>
          <w:color w:val="auto"/>
        </w:rPr>
      </w:pPr>
    </w:p>
    <w:p>
      <w:pPr>
        <w:ind w:left="500" w:hanging="492"/>
        <w:spacing w:after="0" w:line="271" w:lineRule="auto"/>
        <w:tabs>
          <w:tab w:leader="none" w:pos="49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Investment Value and Other consists of changes in fair value, capital invested, available capital and net fund-level asset related leverage activity plus other investment activities.</w:t>
      </w:r>
    </w:p>
    <w:p>
      <w:pPr>
        <w:spacing w:after="0" w:line="39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AUM increased approximately $18.9 billion during the three months ended September 30, 2026. This increase was led by $15.2 billion of capital raised primarily attributable to fundraising activities of TPG X within the Capital platform, TTAD III within the Growth platform, Rise Climate II within the Impact platform, Essential Housing IV within the Credit platform and Peppertree XI within the Market Solutions platform. These increases were partially offset by realization activities in TPG VII and TPG VIII within the Capital platform, TTAD II within the Growth platform, Rise III within the Impact platform and Asia Realty V and Realty Value XI within the Real Estate platform during the three months ended September 30, 2026. AUM also increased due to investment appreciation during the three months ended September 30, 2026.</w:t>
      </w:r>
    </w:p>
    <w:p>
      <w:pPr>
        <w:spacing w:after="0" w:line="18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AUM increased approximately $42.7 billion during the nine months ended September 30, 2026. This increase was led by $41.6 billion of capital raised primarily attributable to fundraising activities of TPG X within the Capital platform, TTAD III within the Growth platform, Rise Climate II and Rise IV within the Impact platform, TPG Direct Lending, TPG Asset Based Finance and Essential Housing IV within the Credit platform, Net Lease Realty V within the Real Estate platform and Peppertree XI and T-POP within the Market Solutions platform. These increases were partially offset by realization activities in TPG IX and THP II within the Capital platform, TDM within the Growth platform, Rise Climate I within the Impact platform and Credit Solutions II within the Credit platform during the nine months ended September 30, 2026. AUM also increased due to investment appreciation during the nine months ended September 30,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Fee-Earning Assets Under Management</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Fee-earning AUM (“FAUM”) represents only the AUM from which we are entitled to receive management fees. FAUM is the sum of all the individual fee bases that are used to calculate our management fees and differs from AUM in the following respects: (i) assets and commitments from which we are not entitled to receive a management fee are excluded (e.g., assets and commitments with respect to which we are entitled to receive only performance allocations or are otherwise not currently entitled to receive a management fee) and (ii) certain assets, primarily in our credit and real estate funds, have different methodologies for calculating management fees that are not based on the fair value of the respective funds’ underlying investments. We believe this measure is useful to investors as it provides additional insight into the capital base upon which we earn management fees. Our definition of FAUM is not based on any definition of AUM or FAUM that is set forth in the agreements governing the investment funds and products that we manage.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FAUM by platform as of September 30, 2026 and 2025:</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6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2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9"/>
        </w:trPr>
        <w:tc>
          <w:tcPr>
            <w:tcW w:w="704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36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w:t>
            </w:r>
          </w:p>
        </w:tc>
        <w:tc>
          <w:tcPr>
            <w:tcW w:w="1280" w:type="dxa"/>
            <w:vAlign w:val="bottom"/>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47,995</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44,468</w:t>
            </w:r>
          </w:p>
        </w:tc>
      </w:tr>
      <w:tr>
        <w:trPr>
          <w:trHeight w:val="229"/>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Growth</w:t>
            </w:r>
          </w:p>
        </w:tc>
        <w:tc>
          <w:tcPr>
            <w:tcW w:w="1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17,548</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14,952</w:t>
            </w:r>
          </w:p>
        </w:tc>
      </w:tr>
      <w:tr>
        <w:trPr>
          <w:trHeight w:val="23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w:t>
            </w:r>
          </w:p>
        </w:tc>
        <w:tc>
          <w:tcPr>
            <w:tcW w:w="1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23,459</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19,574</w:t>
            </w:r>
          </w:p>
        </w:tc>
      </w:tr>
      <w:tr>
        <w:trPr>
          <w:trHeight w:val="229"/>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Credit</w:t>
            </w:r>
          </w:p>
        </w:tc>
        <w:tc>
          <w:tcPr>
            <w:tcW w:w="1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60,556</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47,591</w:t>
            </w:r>
          </w:p>
        </w:tc>
      </w:tr>
      <w:tr>
        <w:trPr>
          <w:trHeight w:val="229"/>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26,864</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26,644</w:t>
            </w:r>
          </w:p>
        </w:tc>
      </w:tr>
      <w:tr>
        <w:trPr>
          <w:trHeight w:val="230"/>
        </w:trPr>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Market Solutions</w:t>
            </w:r>
          </w:p>
        </w:tc>
        <w:tc>
          <w:tcPr>
            <w:tcW w:w="1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13,125</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9,820</w:t>
            </w:r>
          </w:p>
        </w:tc>
      </w:tr>
      <w:tr>
        <w:trPr>
          <w:trHeight w:val="248"/>
        </w:trPr>
        <w:tc>
          <w:tcPr>
            <w:tcW w:w="7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FAUM as of end of period</w:t>
            </w:r>
          </w:p>
        </w:tc>
        <w:tc>
          <w:tcPr>
            <w:tcW w:w="1280" w:type="dxa"/>
            <w:vAlign w:val="bottom"/>
            <w:tcBorders>
              <w:bottom w:val="single" w:sz="8" w:color="auto"/>
            </w:tcBorders>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189,547</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163,049</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rollforwards of our FAUM for the three and nine months ended September 30, 2026 and 2025:</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8"/>
                <w:szCs w:val="18"/>
                <w:color w:val="auto"/>
              </w:rPr>
            </w:pPr>
          </w:p>
        </w:tc>
        <w:tc>
          <w:tcPr>
            <w:tcW w:w="2840" w:type="dxa"/>
            <w:vAlign w:val="bottom"/>
            <w:gridSpan w:val="4"/>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0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9"/>
        </w:trPr>
        <w:tc>
          <w:tcPr>
            <w:tcW w:w="50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2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180,972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141,286</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w:t>
            </w:r>
          </w:p>
        </w:tc>
      </w:tr>
      <w:tr>
        <w:trPr>
          <w:trHeight w:val="230"/>
        </w:trPr>
        <w:tc>
          <w:tcPr>
            <w:tcW w:w="5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Fee-Earning Capital Raised</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16,796</w:t>
            </w:r>
          </w:p>
        </w:tc>
      </w:tr>
      <w:tr>
        <w:trPr>
          <w:trHeight w:val="229"/>
        </w:trPr>
        <w:tc>
          <w:tcPr>
            <w:tcW w:w="5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Deployment</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12,295</w:t>
            </w:r>
          </w:p>
        </w:tc>
      </w:tr>
      <w:tr>
        <w:trPr>
          <w:trHeight w:val="230"/>
        </w:trPr>
        <w:tc>
          <w:tcPr>
            <w:tcW w:w="5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Realizations</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(9,864)</w:t>
            </w:r>
          </w:p>
        </w:tc>
      </w:tr>
      <w:tr>
        <w:trPr>
          <w:trHeight w:val="230"/>
        </w:trPr>
        <w:tc>
          <w:tcPr>
            <w:tcW w:w="5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Reduction in Fee Base</w:t>
            </w:r>
            <w:r>
              <w:rPr>
                <w:rFonts w:ascii="Times New Roman" w:cs="Times New Roman" w:eastAsia="Times New Roman" w:hAnsi="Times New Roman"/>
                <w:sz w:val="23"/>
                <w:szCs w:val="23"/>
                <w:color w:val="auto"/>
                <w:vertAlign w:val="superscript"/>
              </w:rPr>
              <w:t>(4)</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29"/>
        </w:trPr>
        <w:tc>
          <w:tcPr>
            <w:tcW w:w="5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Outflows</w:t>
            </w:r>
            <w:r>
              <w:rPr>
                <w:rFonts w:ascii="Times New Roman" w:cs="Times New Roman" w:eastAsia="Times New Roman" w:hAnsi="Times New Roman"/>
                <w:sz w:val="23"/>
                <w:szCs w:val="23"/>
                <w:color w:val="auto"/>
                <w:vertAlign w:val="superscript"/>
              </w:rPr>
              <w:t>(5)</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r>
      <w:tr>
        <w:trPr>
          <w:trHeight w:val="230"/>
        </w:trPr>
        <w:tc>
          <w:tcPr>
            <w:tcW w:w="50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Market Activity and Other</w:t>
            </w:r>
            <w:r>
              <w:rPr>
                <w:rFonts w:ascii="Times New Roman" w:cs="Times New Roman" w:eastAsia="Times New Roman" w:hAnsi="Times New Roman"/>
                <w:sz w:val="23"/>
                <w:szCs w:val="23"/>
                <w:color w:val="auto"/>
                <w:vertAlign w:val="superscript"/>
              </w:rPr>
              <w:t>(6)</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w:t>
            </w:r>
          </w:p>
        </w:tc>
      </w:tr>
      <w:tr>
        <w:trPr>
          <w:trHeight w:val="248"/>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FAUM as of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189,547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163,049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9" w:lineRule="exact"/>
        <w:rPr>
          <w:sz w:val="20"/>
          <w:szCs w:val="20"/>
          <w:color w:val="auto"/>
        </w:rPr>
      </w:pPr>
    </w:p>
    <w:p>
      <w:pPr>
        <w:ind w:left="480" w:hanging="472"/>
        <w:spacing w:after="0"/>
        <w:tabs>
          <w:tab w:leader="none" w:pos="4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Fee-Earning Capital Raised represents capital raised by our funds for which management fees calculated based on commitments or subscriptions were activated during the period.</w:t>
      </w:r>
    </w:p>
    <w:p>
      <w:pPr>
        <w:spacing w:after="0" w:line="68"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Deployment represents increases in investment cost and CLO collateral assets, as well as capital called for investments.</w:t>
      </w:r>
    </w:p>
    <w:p>
      <w:pPr>
        <w:spacing w:after="0" w:line="68"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Realizations represent decreases in investment cost and CLO collateral assets, as well as distributions of investment related proceeds.</w:t>
      </w:r>
    </w:p>
    <w:p>
      <w:pPr>
        <w:spacing w:after="0" w:line="68" w:lineRule="exact"/>
        <w:rPr>
          <w:rFonts w:ascii="Times New Roman" w:cs="Times New Roman" w:eastAsia="Times New Roman" w:hAnsi="Times New Roman"/>
          <w:sz w:val="14"/>
          <w:szCs w:val="14"/>
          <w:color w:val="auto"/>
        </w:rPr>
      </w:pPr>
    </w:p>
    <w:p>
      <w:pPr>
        <w:ind w:left="500" w:hanging="492"/>
        <w:spacing w:after="0" w:line="291" w:lineRule="auto"/>
        <w:tabs>
          <w:tab w:leader="none" w:pos="49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Reduction in Fee Base represents decreases in the fee basis for funds where the investment or commitment fee period has expired, and the fee base has reduced from commitment base to actively invested capital. It also includes reductions for funds that are no longer fee paying.</w:t>
      </w:r>
    </w:p>
    <w:p>
      <w:pPr>
        <w:spacing w:after="0" w:line="1"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Outflows represent redemptions and withdrawals.</w:t>
      </w:r>
    </w:p>
    <w:p>
      <w:pPr>
        <w:spacing w:after="0" w:line="68" w:lineRule="exact"/>
        <w:rPr>
          <w:rFonts w:ascii="Times New Roman" w:cs="Times New Roman" w:eastAsia="Times New Roman" w:hAnsi="Times New Roman"/>
          <w:sz w:val="14"/>
          <w:szCs w:val="14"/>
          <w:color w:val="auto"/>
        </w:rPr>
      </w:pPr>
    </w:p>
    <w:p>
      <w:pPr>
        <w:ind w:left="500" w:hanging="492"/>
        <w:spacing w:after="0" w:line="302" w:lineRule="auto"/>
        <w:tabs>
          <w:tab w:leader="none" w:pos="49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Activity and Other represents income activity for our funds for which management fees are calculated based on invested net capital or net asset value, as well as foreign exchange fluctuations.</w:t>
      </w:r>
    </w:p>
    <w:p>
      <w:pPr>
        <w:spacing w:after="0" w:line="16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FAUM increased $8.6 billion during the three months ended September 30, 2026, primarily attributable to $6.6 billion in capital deployment led by TTAD III within the Growth platform and TPG Direct Lending and Credit Solutions III within the Credit platform as well as $5.0 billion in fee-earning capital raised. Capital-raising activity was driven by additional closings of TPG X within the Capital platform, subsequent closings for Rise Climate II within the Impact platform and the subsequent closing of TGS II within the Market Solutions platform.</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FAUM increased $19.4 billion during the nine months ended September 30, 2026. The increase was primarily driven by $16.7 billion of deployment, led by TPG IX within the Capital platform, TPG Direct Lending, TPG Asset Based Finance and Credit Solutions III within the Credit platform and TRECO within the Real Estate platform. Additionally, FAUM also increased as a result of $14.0 billion in fee-earning capital raised, primarily attributable to additional closings of TPG X and the activation of THP III during the first quarter of 2026 within the Capital platform, the activation of TPG Sports during the first quarter of 2026 within the Growth platform and the initial close for Rise IV during the first quarter of 2026 and subsequent closings for Rise Climate II within the Impact platform. These increases were partially offset by realizations of $9.4 billion primarily attributable to TPG IX within the Capital platform, Rise Climate I within the Impact platform, and TPG Direct Lending, Credit Solutions II and Essential Housing II within the Credit platform. For the nine months ended September 30, 2026, annualized weighted average management fees as a percentage of FAUM, which represent annualized management fees divided by the average of each applicable period’s FAUM were 1.24%.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Accrued Performance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accrued performance represents both unrealized and undistributed performance allocations and fee-related performance revenues resulting from our general partner interests in investment funds that we manage. We believe this measure is useful to investors as it provides additional insight into the accrued performance to which the TPG Operating Group Common Unit holders are expected to receive.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tables below summarize our net accrued performance by fund vintage year and platform as of September 30, 2026 and December 31, 2025:</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tcPr>
          <w:p>
            <w:pPr>
              <w:spacing w:after="0"/>
              <w:rPr>
                <w:sz w:val="21"/>
                <w:szCs w:val="21"/>
                <w:color w:val="auto"/>
              </w:rPr>
            </w:pPr>
          </w:p>
        </w:tc>
        <w:tc>
          <w:tcPr>
            <w:tcW w:w="3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980" w:type="dxa"/>
            <w:vAlign w:val="bottom"/>
            <w:tcBorders>
              <w:bottom w:val="single" w:sz="8" w:color="auto"/>
            </w:tcBorders>
            <w:gridSpan w:val="4"/>
          </w:tcPr>
          <w:p>
            <w:pPr>
              <w:jc w:val="right"/>
              <w:ind w:right="1531"/>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0" w:type="dxa"/>
            <w:vAlign w:val="bottom"/>
          </w:tcPr>
          <w:p>
            <w:pPr>
              <w:spacing w:after="0"/>
              <w:rPr>
                <w:sz w:val="1"/>
                <w:szCs w:val="1"/>
                <w:color w:val="auto"/>
              </w:rPr>
            </w:pPr>
          </w:p>
        </w:tc>
      </w:tr>
      <w:tr>
        <w:trPr>
          <w:trHeight w:val="21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Fund Vintage</w:t>
            </w:r>
          </w:p>
        </w:tc>
        <w:tc>
          <w:tcPr>
            <w:tcW w:w="3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2020 &amp; Prior</w:t>
            </w:r>
          </w:p>
        </w:tc>
        <w:tc>
          <w:tcPr>
            <w:tcW w:w="3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2021</w:t>
            </w:r>
          </w:p>
        </w:tc>
        <w:tc>
          <w:tcPr>
            <w:tcW w:w="3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9"/>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2022</w:t>
            </w:r>
          </w:p>
        </w:tc>
        <w:tc>
          <w:tcPr>
            <w:tcW w:w="3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2023</w:t>
            </w:r>
          </w:p>
        </w:tc>
        <w:tc>
          <w:tcPr>
            <w:tcW w:w="3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3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3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2026</w:t>
            </w:r>
          </w:p>
        </w:tc>
        <w:tc>
          <w:tcPr>
            <w:tcW w:w="3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Accrued Performance</w:t>
            </w:r>
          </w:p>
        </w:tc>
        <w:tc>
          <w:tcPr>
            <w:tcW w:w="3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39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tcPr>
          <w:p>
            <w:pPr>
              <w:spacing w:after="0"/>
              <w:rPr>
                <w:sz w:val="21"/>
                <w:szCs w:val="21"/>
                <w:color w:val="auto"/>
              </w:rPr>
            </w:pPr>
          </w:p>
        </w:tc>
        <w:tc>
          <w:tcPr>
            <w:tcW w:w="3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980" w:type="dxa"/>
            <w:vAlign w:val="bottom"/>
            <w:tcBorders>
              <w:bottom w:val="single" w:sz="8" w:color="auto"/>
            </w:tcBorders>
            <w:gridSpan w:val="4"/>
          </w:tcPr>
          <w:p>
            <w:pPr>
              <w:jc w:val="right"/>
              <w:ind w:right="1531"/>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0" w:type="dxa"/>
            <w:vAlign w:val="bottom"/>
          </w:tcPr>
          <w:p>
            <w:pPr>
              <w:spacing w:after="0"/>
              <w:rPr>
                <w:sz w:val="1"/>
                <w:szCs w:val="1"/>
                <w:color w:val="auto"/>
              </w:rPr>
            </w:pPr>
          </w:p>
        </w:tc>
      </w:tr>
      <w:tr>
        <w:trPr>
          <w:trHeight w:val="21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3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w:t>
            </w:r>
          </w:p>
        </w:tc>
        <w:tc>
          <w:tcPr>
            <w:tcW w:w="3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Growth</w:t>
            </w:r>
          </w:p>
        </w:tc>
        <w:tc>
          <w:tcPr>
            <w:tcW w:w="3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Impact</w:t>
            </w:r>
          </w:p>
        </w:tc>
        <w:tc>
          <w:tcPr>
            <w:tcW w:w="3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Credit</w:t>
            </w:r>
          </w:p>
        </w:tc>
        <w:tc>
          <w:tcPr>
            <w:tcW w:w="3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Estate</w:t>
            </w:r>
          </w:p>
        </w:tc>
        <w:tc>
          <w:tcPr>
            <w:tcW w:w="3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Market Solutions</w:t>
            </w:r>
          </w:p>
        </w:tc>
        <w:tc>
          <w:tcPr>
            <w:tcW w:w="3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3"/>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Accrued Performance</w:t>
            </w:r>
          </w:p>
        </w:tc>
        <w:tc>
          <w:tcPr>
            <w:tcW w:w="3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100" w:type="dxa"/>
            <w:vAlign w:val="bottom"/>
            <w:vMerge w:val="restart"/>
          </w:tcPr>
          <w:p>
            <w:pPr>
              <w:jc w:val="right"/>
              <w:ind w:right="1230"/>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394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accrued performance was primarily driven by TPG VIII, TPG IX, Asia VII, TTAD II, Growth IV, Growth V, Rise Climate I and Rise III as of September 30, 2026 and TPG VIII, TPG IX, Asia VII, Growth V and Growth IV as of December 31, 2025.</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also utilize Performance Generating AUM and Performance Eligible AUM as key metrics to understand AUM that could produce performance allocations or fee-related performance revenues. Performance Generating AUM refers to the AUM of funds we manage that are currently above their respective hurdle rate or preferred return, and profit of such funds are being allocated to, or earned by, us in accordance with the applicable limited partnership agreements or other governing agreements. Performance Eligible AUM refers to the AUM that is currently, or may eventually, produce performance allocations or fee-related performance revenues. All funds for which we are entitled to receive a performance allocation, incentive fee or fee-related performance revenue are included in Performance Eligible AUM.</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Performance Generating AUM totaled $234.8 billion and $208.8 billion as of September 30, 2026 and December 31, 2025, respectively. Across the investment funds that we manage, Performance Eligible AUM totaled $287.5 billion and $254.3 billion as of September 30, 2026 and December 31,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AUM Subject to Fee-Earning Growth</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AUM Subject to Fee-Earning Growth represents capital commitments that when deployed have the ability to grow our fees through earning new management fees (AUM Not Yet Earning Fees) or when management fees can be charged at a higher rate as capital is invested or for certain funds as management fee rates increase during the life of a fund (FAUM Subject to Step-Up).</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AUM Not Yet Earning Fees represents the amount of capital commitments to TPG’s funds and co-investment vehicles that has not yet been invested or considered active, and as this capital is invested or activated, the fee-paying portion will be included in FAUM. FAUM Subject to Step-Up represents capital raised within certain funds where the management fee rate increases once capital is invested or as a fund reaches a certain point in its life where the fee rate for certain investors increases. FAUM Subject to Step-Up is included within FAUM.</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reflects AUM Subject to Fee-Earning Growth by platform as of September 30, 2026 and December 31,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tcPr>
          <w:p>
            <w:pPr>
              <w:spacing w:after="0"/>
              <w:rPr>
                <w:sz w:val="21"/>
                <w:szCs w:val="21"/>
                <w:color w:val="auto"/>
              </w:rPr>
            </w:pPr>
          </w:p>
        </w:tc>
        <w:tc>
          <w:tcPr>
            <w:tcW w:w="23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980" w:type="dxa"/>
            <w:vAlign w:val="bottom"/>
            <w:tcBorders>
              <w:bottom w:val="single" w:sz="8" w:color="auto"/>
            </w:tcBorders>
            <w:gridSpan w:val="4"/>
          </w:tcPr>
          <w:p>
            <w:pPr>
              <w:jc w:val="right"/>
              <w:ind w:right="1531"/>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0" w:type="dxa"/>
            <w:vAlign w:val="bottom"/>
          </w:tcPr>
          <w:p>
            <w:pPr>
              <w:spacing w:after="0"/>
              <w:rPr>
                <w:sz w:val="1"/>
                <w:szCs w:val="1"/>
                <w:color w:val="auto"/>
              </w:rPr>
            </w:pPr>
          </w:p>
        </w:tc>
      </w:tr>
      <w:tr>
        <w:trPr>
          <w:trHeight w:val="21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AUM Not Yet Earning Fees:</w:t>
            </w:r>
          </w:p>
        </w:tc>
        <w:tc>
          <w:tcPr>
            <w:tcW w:w="2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w:t>
            </w:r>
          </w:p>
        </w:tc>
        <w:tc>
          <w:tcPr>
            <w:tcW w:w="2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Growth</w:t>
            </w:r>
          </w:p>
        </w:tc>
        <w:tc>
          <w:tcPr>
            <w:tcW w:w="2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0" w:type="dxa"/>
            <w:vAlign w:val="bottom"/>
          </w:tcPr>
          <w:p>
            <w:pPr>
              <w:spacing w:after="0"/>
              <w:rPr>
                <w:sz w:val="1"/>
                <w:szCs w:val="1"/>
                <w:color w:val="auto"/>
              </w:rPr>
            </w:pPr>
          </w:p>
        </w:tc>
      </w:tr>
      <w:tr>
        <w:trPr>
          <w:trHeight w:val="230"/>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Impact</w:t>
            </w:r>
          </w:p>
        </w:tc>
        <w:tc>
          <w:tcPr>
            <w:tcW w:w="2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Credit</w:t>
            </w:r>
          </w:p>
        </w:tc>
        <w:tc>
          <w:tcPr>
            <w:tcW w:w="2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13,463</w:t>
            </w:r>
          </w:p>
        </w:tc>
        <w:tc>
          <w:tcPr>
            <w:tcW w:w="0" w:type="dxa"/>
            <w:vAlign w:val="bottom"/>
          </w:tcPr>
          <w:p>
            <w:pPr>
              <w:spacing w:after="0"/>
              <w:rPr>
                <w:sz w:val="1"/>
                <w:szCs w:val="1"/>
                <w:color w:val="auto"/>
              </w:rPr>
            </w:pPr>
          </w:p>
        </w:tc>
      </w:tr>
      <w:tr>
        <w:trPr>
          <w:trHeight w:val="229"/>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Estate</w:t>
            </w:r>
          </w:p>
        </w:tc>
        <w:tc>
          <w:tcPr>
            <w:tcW w:w="2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Market Solutions</w:t>
            </w:r>
          </w:p>
        </w:tc>
        <w:tc>
          <w:tcPr>
            <w:tcW w:w="23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23"/>
        </w:trPr>
        <w:tc>
          <w:tcPr>
            <w:tcW w:w="47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AUM Not Yet Earning Fees</w:t>
            </w:r>
          </w:p>
        </w:tc>
        <w:tc>
          <w:tcPr>
            <w:tcW w:w="23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43,361</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28,658</w:t>
            </w:r>
          </w:p>
        </w:tc>
        <w:tc>
          <w:tcPr>
            <w:tcW w:w="0" w:type="dxa"/>
            <w:vAlign w:val="bottom"/>
          </w:tcPr>
          <w:p>
            <w:pPr>
              <w:spacing w:after="0"/>
              <w:rPr>
                <w:sz w:val="1"/>
                <w:szCs w:val="1"/>
                <w:color w:val="auto"/>
              </w:rPr>
            </w:pPr>
          </w:p>
        </w:tc>
      </w:tr>
      <w:tr>
        <w:trPr>
          <w:trHeight w:val="257"/>
        </w:trPr>
        <w:tc>
          <w:tcPr>
            <w:tcW w:w="4720" w:type="dxa"/>
            <w:vAlign w:val="bottom"/>
            <w:shd w:val="clear" w:color="auto" w:fill="CCEEFF"/>
          </w:tcPr>
          <w:p>
            <w:pPr>
              <w:spacing w:after="0"/>
              <w:rPr>
                <w:sz w:val="22"/>
                <w:szCs w:val="22"/>
                <w:color w:val="auto"/>
              </w:rPr>
            </w:pPr>
          </w:p>
        </w:tc>
        <w:tc>
          <w:tcPr>
            <w:tcW w:w="2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FAUM Subject to Step-Up:</w:t>
            </w:r>
          </w:p>
        </w:tc>
        <w:tc>
          <w:tcPr>
            <w:tcW w:w="2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w:t>
            </w:r>
          </w:p>
        </w:tc>
        <w:tc>
          <w:tcPr>
            <w:tcW w:w="25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0" w:type="dxa"/>
            <w:vAlign w:val="bottom"/>
          </w:tcPr>
          <w:p>
            <w:pPr>
              <w:spacing w:after="0"/>
              <w:rPr>
                <w:sz w:val="1"/>
                <w:szCs w:val="1"/>
                <w:color w:val="auto"/>
              </w:rPr>
            </w:pPr>
          </w:p>
        </w:tc>
      </w:tr>
      <w:tr>
        <w:trPr>
          <w:trHeight w:val="230"/>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Growth</w:t>
            </w:r>
          </w:p>
        </w:tc>
        <w:tc>
          <w:tcPr>
            <w:tcW w:w="2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Credit</w:t>
            </w:r>
          </w:p>
        </w:tc>
        <w:tc>
          <w:tcPr>
            <w:tcW w:w="2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0" w:type="dxa"/>
            <w:vAlign w:val="bottom"/>
          </w:tcPr>
          <w:p>
            <w:pPr>
              <w:spacing w:after="0"/>
              <w:rPr>
                <w:sz w:val="1"/>
                <w:szCs w:val="1"/>
                <w:color w:val="auto"/>
              </w:rPr>
            </w:pPr>
          </w:p>
        </w:tc>
      </w:tr>
      <w:tr>
        <w:trPr>
          <w:trHeight w:val="230"/>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Estate</w:t>
            </w:r>
          </w:p>
        </w:tc>
        <w:tc>
          <w:tcPr>
            <w:tcW w:w="2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Market Solutions</w:t>
            </w:r>
          </w:p>
        </w:tc>
        <w:tc>
          <w:tcPr>
            <w:tcW w:w="23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23"/>
        </w:trPr>
        <w:tc>
          <w:tcPr>
            <w:tcW w:w="47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FAUM Subject to Step-Up</w:t>
            </w:r>
          </w:p>
        </w:tc>
        <w:tc>
          <w:tcPr>
            <w:tcW w:w="23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Total AUM Subject to Fee-Earning Growth</w:t>
            </w:r>
          </w:p>
        </w:tc>
        <w:tc>
          <w:tcPr>
            <w:tcW w:w="2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40,479</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CCEEFF"/>
            </w:tcBorders>
            <w:vMerge w:val="restart"/>
          </w:tcPr>
          <w:p>
            <w:pPr>
              <w:jc w:val="right"/>
              <w:ind w:right="1230"/>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2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September 30, 2026, AUM Not Yet Earning Fees was $43.4 billion, which primarily consisted of TPG IX, TPG VIII and THP II within the Capital platform, TTAD III within the Growth platform, Rise Climate I within the Impact platform, TPG Direct Lending, TPG Asset Based Finance, Credit Solutions III and Essential Housing IV within the Credit platform, TRECO and Net Lease Realty V within the Real Estate platform and Peppertree XI within the Market Solutions platform.</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Associated with FAUM Subject to Step-Up, management fee rates for these respective underlying funds or certain investors range between 0.35% and 1.65% and step-up to rates in the range of 0.44% and 1.80% after capital is invested or as a fund reaches a certain point in its life where the fee rate for certain investors increases. FAUM Subject to Step-Up as of September 30, 2026 relates primarily to TPG X within the Capital platform, Credit Solutions III, TPG Direct Lending and TPG Asset Based Finance within the Credit platform, Asia Realty V within the Real Estate platform and T-POP within the Market Solutions platform.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Raised</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Capital raised is the aggregate amount of subscriptions and capital raised by our investment funds and co-investment vehicles during a given period, as well as the senior and subordinated notes issued through our CLOs and equity raised through our perpetual vehicles. We believe this measure is useful to investors as it measures access to capital across TPG and our ability to grow our management fee base.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capital raised by platform for the three and nine months ended September 30,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140" w:type="dxa"/>
            <w:vAlign w:val="bottom"/>
            <w:gridSpan w:val="6"/>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8"/>
                <w:szCs w:val="18"/>
                <w:color w:val="auto"/>
              </w:rPr>
            </w:pPr>
          </w:p>
        </w:tc>
        <w:tc>
          <w:tcPr>
            <w:tcW w:w="2840" w:type="dxa"/>
            <w:vAlign w:val="bottom"/>
            <w:gridSpan w:val="4"/>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0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9"/>
        </w:trPr>
        <w:tc>
          <w:tcPr>
            <w:tcW w:w="504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2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90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11,775</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11,809</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w:t>
            </w:r>
          </w:p>
        </w:tc>
      </w:tr>
      <w:tr>
        <w:trPr>
          <w:trHeight w:val="248"/>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Capital Raised</w:t>
            </w:r>
          </w:p>
        </w:tc>
        <w:tc>
          <w:tcPr>
            <w:tcW w:w="90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15,166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Capital raised totaled approximately $15.2 billion for the three months ended September 30, 2026. This was primarily attributable to the fundraising activities of TPG X within the Capital platform, TTAD III within the Growth platform, Rise Climate II within the Impact platform, Essential Housing IV and TPG Direct Lending within the Credit platform and Peppertree XI within the Market Solutions platform.</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Capital raised totaled approximately $41.6 billion for the nine months ended September 30, 2026. This was primarily attributable to the fundraising activities of TPG X within the Capital platform, TTAD III within the Growth platform, Rise Climate II and Rise IV within the Impact platform, TPG Direct Lending and TPG Asset Based Finance within the Credit platform, Net Lease Realty V within the Real Estate platform and Peppertree XI and T-POP within the Market Solutions platform.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 Capital</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Available capital is the aggregate amount of unfunded capital commitments and recallable distributions that partners have committed to our funds and co-investment vehicles to fund future investments. Available capital is reduced for investments completed using fund-level subscription-related credit facilities. We believe this measure is useful to investors as it provides additional insight into the amount of capital that is available to our investment funds and co-investment vehicles to make future investments.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available capital by platform as of September 30,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0" w:type="dxa"/>
            <w:vAlign w:val="bottom"/>
            <w:tcBorders>
              <w:bottom w:val="single" w:sz="8" w:color="auto"/>
            </w:tcBorders>
          </w:tcPr>
          <w:p>
            <w:pPr>
              <w:spacing w:after="0"/>
              <w:rPr>
                <w:sz w:val="18"/>
                <w:szCs w:val="18"/>
                <w:color w:val="auto"/>
              </w:rPr>
            </w:pPr>
          </w:p>
        </w:tc>
      </w:tr>
      <w:tr>
        <w:trPr>
          <w:trHeight w:val="211"/>
        </w:trPr>
        <w:tc>
          <w:tcPr>
            <w:tcW w:w="7040" w:type="dxa"/>
            <w:vAlign w:val="bottom"/>
          </w:tcPr>
          <w:p>
            <w:pPr>
              <w:spacing w:after="0"/>
              <w:rPr>
                <w:sz w:val="18"/>
                <w:szCs w:val="18"/>
                <w:color w:val="auto"/>
              </w:rPr>
            </w:pPr>
          </w:p>
        </w:tc>
        <w:tc>
          <w:tcPr>
            <w:tcW w:w="13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7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9"/>
        </w:trPr>
        <w:tc>
          <w:tcPr>
            <w:tcW w:w="704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1400" w:type="dxa"/>
            <w:vAlign w:val="bottom"/>
            <w:tcBorders>
              <w:bottom w:val="single" w:sz="8" w:color="auto"/>
            </w:tcBorders>
          </w:tcPr>
          <w:p>
            <w:pPr>
              <w:spacing w:after="0"/>
              <w:rPr>
                <w:sz w:val="21"/>
                <w:szCs w:val="2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340" w:type="dxa"/>
            <w:vAlign w:val="bottom"/>
            <w:shd w:val="clear" w:color="auto" w:fill="CCEEFF"/>
          </w:tcPr>
          <w:p>
            <w:pPr>
              <w:jc w:val="right"/>
              <w:ind w:right="115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22,535</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22,703</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7,772</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10,307</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1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24,509</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16,256</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13,719</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12,358</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1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w:t>
            </w:r>
          </w:p>
        </w:tc>
      </w:tr>
      <w:tr>
        <w:trPr>
          <w:trHeight w:val="248"/>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Available Capital</w:t>
            </w:r>
          </w:p>
        </w:tc>
        <w:tc>
          <w:tcPr>
            <w:tcW w:w="1340" w:type="dxa"/>
            <w:vAlign w:val="bottom"/>
            <w:tcBorders>
              <w:bottom w:val="single" w:sz="8" w:color="auto"/>
            </w:tcBorders>
            <w:shd w:val="clear" w:color="auto" w:fill="CCEEFF"/>
          </w:tcPr>
          <w:p>
            <w:pPr>
              <w:jc w:val="right"/>
              <w:ind w:right="115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85,607</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Available capital totaled $85.6 billion as of September 30, 2026, primarily attributable to TPG X, THP III, Asia VIII, TPG IX and TPG VIII within the Capital platform, TTAD III, Growth VI and TPG Sports within the Growth platform, Rise Climate II and Rise Climate I within the Impact platform, TPG Direct Lending, TPG Asset Based Finance, Credit Solutions III and Essential Housing IV within the Credit platform, Europe Realty IV, TREP IV, TRECO and Asia Realty V within the Real Estate platform and Peppertree XI and TGS II within the Market Solutions platform.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Invested</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Capital invested is the aggregate amount of capital invested during a given period by our investment funds, co-investment vehicles and CLOs, as well as increases in gross assets of certain perpetual funds. It excludes certain hedge fund activity, but includes investments made using investment financing arrangements like credit facilities, as applicable. We believe this measure is useful to investors as it measures capital deployment across the firm.</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capital invested by platform for the three and nine months ended September 30,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140" w:type="dxa"/>
            <w:vAlign w:val="bottom"/>
            <w:gridSpan w:val="6"/>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8"/>
                <w:szCs w:val="18"/>
                <w:color w:val="auto"/>
              </w:rPr>
            </w:pPr>
          </w:p>
        </w:tc>
        <w:tc>
          <w:tcPr>
            <w:tcW w:w="2840" w:type="dxa"/>
            <w:vAlign w:val="bottom"/>
            <w:gridSpan w:val="4"/>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0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9"/>
        </w:trPr>
        <w:tc>
          <w:tcPr>
            <w:tcW w:w="504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2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90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16,640</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w:t>
            </w:r>
          </w:p>
        </w:tc>
      </w:tr>
      <w:tr>
        <w:trPr>
          <w:trHeight w:val="248"/>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Capital Invested</w:t>
            </w:r>
          </w:p>
        </w:tc>
        <w:tc>
          <w:tcPr>
            <w:tcW w:w="90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11,484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Capital invested was $11.5 billion for the three months ended September 30, 2026, which was primarily attributable to Rise Climate TI within the Impact platform, TPG Asset Based Finance and TPG Direct Lending within the Credit platform and TRTX within the Real Estate platform.</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Capital invested was $39.7 billion for the nine months ended September 30, 2026, which was primarily attributable to TPG X, TPG IX and THP II within the Capital platform, Rise Climate II within the Impact platform, TPG Asset Based Finance, TPG Direct Lending and Credit Solutions III within the Credit platform and TRTX and TREP IV within the Real Estate platform.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Realizations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Realizations represent proceeds from the disposition of investments and current income, and in the case of credit funds, distributions sourced from realization proceeds.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realizations by platform for the three and nine months ended September 30, 2026 and 2025: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140" w:type="dxa"/>
            <w:vAlign w:val="bottom"/>
            <w:gridSpan w:val="6"/>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8"/>
                <w:szCs w:val="18"/>
                <w:color w:val="auto"/>
              </w:rPr>
            </w:pPr>
          </w:p>
        </w:tc>
        <w:tc>
          <w:tcPr>
            <w:tcW w:w="2840" w:type="dxa"/>
            <w:vAlign w:val="bottom"/>
            <w:gridSpan w:val="4"/>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50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9"/>
        </w:trPr>
        <w:tc>
          <w:tcPr>
            <w:tcW w:w="504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 in millions)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2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94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 Solutions</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48"/>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Realizations</w:t>
            </w:r>
          </w:p>
        </w:tc>
        <w:tc>
          <w:tcPr>
            <w:tcW w:w="94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18,545</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Realizations were $6.6 billion for the three months ended September 30, 2026, primarily attributable to realization activities in TPG VIII and TPG VII within the Capital platform, TTAD II within the Growth platform, Rise III within the Impact platform, TPG Direct Lending and Asset Based Finance within the Credit platform and Asia Realty V and Realty Value XI within the Real Estate platform.</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Realizations were $20.4 billion for the nine months ended September 30, 2026, primarily attributable to realization activities in TPG IX, THP II and TPG VIII within the Capital platform, TDM within the Growth platform, Rise Climate I within the Impact platform, Credit Solutions II within the Credit platform and Realty Value XI within the Real Estate platform.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 Performance Metrics</w:t>
      </w:r>
    </w:p>
    <w:p>
      <w:pPr>
        <w:spacing w:after="0" w:line="21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Fund performance information for our investment funds as of September 30, 2026 is included throughout this discussion and analysis to facilitate an understanding of our results of operations for the periods presented. These fund performance metrics do not include co-investment vehicles, SMAs or certain other legacy or discontinued funds. Additionally, these fund performance metrics exclude the firm’s CLOs and real estate investment trusts. The fund return information for individual funds reflected in this discussion and analysis is not necessarily indicative of our firmwide performance and is also not necessarily indicative of the future performance of any particular fund. An investment in us is not an investment in any of our funds. This track record presentation is unaudited and does not purport to represent the respective fund’s financial results in accordance with U.S. GAAP. There can be no assurance that any of our funds or our other existing and future funds will achieve similar returns. See “Item 1A.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Risk Factors—Risks Related to Our Business— Our funds’ historical returns should not be considered as indicative of our or our funds’ future results or of any returns expected on an investment in our Class A common stock.”</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following tables reflect the performance of our selected funds as of September 30, 2026 ($ in millions):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gridSpan w:val="2"/>
          </w:tcPr>
          <w:p>
            <w:pPr>
              <w:jc w:val="center"/>
              <w:ind w:left="408"/>
              <w:spacing w:after="0"/>
              <w:rPr>
                <w:sz w:val="20"/>
                <w:szCs w:val="20"/>
                <w:color w:val="auto"/>
              </w:rPr>
            </w:pPr>
            <w:r>
              <w:rPr>
                <w:rFonts w:ascii="Times New Roman" w:cs="Times New Roman" w:eastAsia="Times New Roman" w:hAnsi="Times New Roman"/>
                <w:sz w:val="13"/>
                <w:szCs w:val="13"/>
                <w:b w:val="1"/>
                <w:bCs w:val="1"/>
                <w:color w:val="auto"/>
                <w:w w:val="96"/>
              </w:rPr>
              <w:t>Vintage</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Capital</w:t>
            </w:r>
          </w:p>
        </w:tc>
        <w:tc>
          <w:tcPr>
            <w:tcW w:w="100" w:type="dxa"/>
            <w:vAlign w:val="bottom"/>
          </w:tcPr>
          <w:p>
            <w:pPr>
              <w:spacing w:after="0"/>
              <w:rPr>
                <w:sz w:val="12"/>
                <w:szCs w:val="12"/>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Realized</w:t>
            </w:r>
          </w:p>
        </w:tc>
        <w:tc>
          <w:tcPr>
            <w:tcW w:w="120" w:type="dxa"/>
            <w:vAlign w:val="bottom"/>
          </w:tcPr>
          <w:p>
            <w:pPr>
              <w:spacing w:after="0"/>
              <w:rPr>
                <w:sz w:val="12"/>
                <w:szCs w:val="12"/>
                <w:color w:val="auto"/>
              </w:rPr>
            </w:pPr>
          </w:p>
        </w:tc>
        <w:tc>
          <w:tcPr>
            <w:tcW w:w="94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5"/>
              </w:rPr>
              <w:t>Unrealized</w:t>
            </w: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Gross IRR</w:t>
            </w:r>
            <w:r>
              <w:rPr>
                <w:rFonts w:ascii="Times New Roman" w:cs="Times New Roman" w:eastAsia="Times New Roman" w:hAnsi="Times New Roman"/>
                <w:sz w:val="16"/>
                <w:szCs w:val="16"/>
                <w:b w:val="1"/>
                <w:bCs w:val="1"/>
                <w:color w:val="auto"/>
                <w:vertAlign w:val="superscript"/>
              </w:rPr>
              <w:t>(7)</w:t>
            </w: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Net IRR</w:t>
            </w:r>
            <w:r>
              <w:rPr>
                <w:rFonts w:ascii="Times New Roman" w:cs="Times New Roman" w:eastAsia="Times New Roman" w:hAnsi="Times New Roman"/>
                <w:sz w:val="16"/>
                <w:szCs w:val="16"/>
                <w:b w:val="1"/>
                <w:bCs w:val="1"/>
                <w:color w:val="auto"/>
                <w:vertAlign w:val="superscript"/>
              </w:rPr>
              <w:t>(8)</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Net MoM</w:t>
            </w:r>
            <w:r>
              <w:rPr>
                <w:rFonts w:ascii="Times New Roman" w:cs="Times New Roman" w:eastAsia="Times New Roman" w:hAnsi="Times New Roman"/>
                <w:sz w:val="16"/>
                <w:szCs w:val="16"/>
                <w:b w:val="1"/>
                <w:bCs w:val="1"/>
                <w:color w:val="auto"/>
                <w:w w:val="93"/>
                <w:vertAlign w:val="superscript"/>
              </w:rPr>
              <w:t>(9)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Fund</w:t>
            </w:r>
          </w:p>
        </w:tc>
        <w:tc>
          <w:tcPr>
            <w:tcW w:w="1300" w:type="dxa"/>
            <w:vAlign w:val="bottom"/>
            <w:gridSpan w:val="2"/>
          </w:tcPr>
          <w:p>
            <w:pPr>
              <w:jc w:val="center"/>
              <w:ind w:left="408"/>
              <w:spacing w:after="0"/>
              <w:rPr>
                <w:sz w:val="20"/>
                <w:szCs w:val="20"/>
                <w:color w:val="auto"/>
              </w:rPr>
            </w:pPr>
            <w:r>
              <w:rPr>
                <w:rFonts w:ascii="Times New Roman" w:cs="Times New Roman" w:eastAsia="Times New Roman" w:hAnsi="Times New Roman"/>
                <w:sz w:val="13"/>
                <w:szCs w:val="13"/>
                <w:b w:val="1"/>
                <w:bCs w:val="1"/>
                <w:color w:val="auto"/>
                <w:w w:val="85"/>
              </w:rPr>
              <w:t>Year</w:t>
            </w:r>
            <w:r>
              <w:rPr>
                <w:rFonts w:ascii="Times New Roman" w:cs="Times New Roman" w:eastAsia="Times New Roman" w:hAnsi="Times New Roman"/>
                <w:sz w:val="16"/>
                <w:szCs w:val="16"/>
                <w:b w:val="1"/>
                <w:bCs w:val="1"/>
                <w:color w:val="auto"/>
                <w:w w:val="85"/>
                <w:vertAlign w:val="superscript"/>
              </w:rPr>
              <w:t>(1)</w:t>
            </w:r>
          </w:p>
        </w:tc>
        <w:tc>
          <w:tcPr>
            <w:tcW w:w="12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2"/>
              </w:rPr>
              <w:t>Committed</w:t>
            </w:r>
            <w:r>
              <w:rPr>
                <w:rFonts w:ascii="Times New Roman" w:cs="Times New Roman" w:eastAsia="Times New Roman" w:hAnsi="Times New Roman"/>
                <w:sz w:val="16"/>
                <w:szCs w:val="16"/>
                <w:b w:val="1"/>
                <w:bCs w:val="1"/>
                <w:color w:val="auto"/>
                <w:w w:val="92"/>
                <w:vertAlign w:val="superscript"/>
              </w:rPr>
              <w:t>(2)</w:t>
            </w: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0"/>
              </w:rPr>
              <w:t>Invested</w:t>
            </w:r>
            <w:r>
              <w:rPr>
                <w:rFonts w:ascii="Times New Roman" w:cs="Times New Roman" w:eastAsia="Times New Roman" w:hAnsi="Times New Roman"/>
                <w:sz w:val="16"/>
                <w:szCs w:val="16"/>
                <w:b w:val="1"/>
                <w:bCs w:val="1"/>
                <w:color w:val="auto"/>
                <w:w w:val="90"/>
                <w:vertAlign w:val="superscript"/>
              </w:rPr>
              <w:t>(3)</w:t>
            </w:r>
          </w:p>
        </w:tc>
        <w:tc>
          <w:tcPr>
            <w:tcW w:w="100" w:type="dxa"/>
            <w:vAlign w:val="bottom"/>
          </w:tcPr>
          <w:p>
            <w:pPr>
              <w:spacing w:after="0"/>
              <w:rPr>
                <w:sz w:val="16"/>
                <w:szCs w:val="16"/>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(4)</w:t>
            </w:r>
          </w:p>
        </w:tc>
        <w:tc>
          <w:tcPr>
            <w:tcW w:w="120" w:type="dxa"/>
            <w:vAlign w:val="bottom"/>
          </w:tcPr>
          <w:p>
            <w:pPr>
              <w:spacing w:after="0"/>
              <w:rPr>
                <w:sz w:val="16"/>
                <w:szCs w:val="16"/>
                <w:color w:val="auto"/>
              </w:rPr>
            </w:pPr>
          </w:p>
        </w:tc>
        <w:tc>
          <w:tcPr>
            <w:tcW w:w="94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(5)</w:t>
            </w: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(6)</w:t>
            </w:r>
          </w:p>
        </w:tc>
        <w:tc>
          <w:tcPr>
            <w:tcW w:w="860" w:type="dxa"/>
            <w:vAlign w:val="bottom"/>
            <w:gridSpan w:val="2"/>
            <w:vMerge w:val="continue"/>
          </w:tcPr>
          <w:p>
            <w:pPr>
              <w:spacing w:after="0"/>
              <w:rPr>
                <w:sz w:val="16"/>
                <w:szCs w:val="16"/>
                <w:color w:val="auto"/>
              </w:rPr>
            </w:pPr>
          </w:p>
        </w:tc>
        <w:tc>
          <w:tcPr>
            <w:tcW w:w="74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MoM</w:t>
            </w:r>
            <w:r>
              <w:rPr>
                <w:rFonts w:ascii="Times New Roman" w:cs="Times New Roman" w:eastAsia="Times New Roman" w:hAnsi="Times New Roman"/>
                <w:sz w:val="8"/>
                <w:szCs w:val="8"/>
                <w:b w:val="1"/>
                <w:bCs w:val="1"/>
                <w:color w:val="auto"/>
              </w:rPr>
              <w:t>(7)</w:t>
            </w:r>
          </w:p>
        </w:tc>
        <w:tc>
          <w:tcPr>
            <w:tcW w:w="88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Platform: Capital</w:t>
            </w:r>
          </w:p>
        </w:tc>
        <w:tc>
          <w:tcPr>
            <w:tcW w:w="1080" w:type="dxa"/>
            <w:vAlign w:val="bottom"/>
            <w:tcBorders>
              <w:bottom w:val="single" w:sz="8" w:color="CCEEFF"/>
            </w:tcBorders>
            <w:gridSpan w:val="4"/>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Capital Funds</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Air Partners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10.9x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8.9x</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TPG 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3,095</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4.4x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3.5x</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TPG II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1.7x</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TPG III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12,360</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3.3x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2.6x</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TPG IV</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1.9x</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TPG V</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22,074</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1.4x</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TPG VI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33,541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1.5x</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TPG VII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24,690</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1.9x</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TPG VIII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20,574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1.5x</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TPG IX</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17,698</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1.3x</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TPG X</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NM</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80" w:type="dxa"/>
            <w:vAlign w:val="bottom"/>
            <w:gridSpan w:val="8"/>
          </w:tcPr>
          <w:p>
            <w:pPr>
              <w:spacing w:after="0"/>
              <w:rPr>
                <w:sz w:val="20"/>
                <w:szCs w:val="20"/>
                <w:color w:val="auto"/>
              </w:rPr>
            </w:pPr>
            <w:r>
              <w:rPr>
                <w:rFonts w:ascii="Times New Roman" w:cs="Times New Roman" w:eastAsia="Times New Roman" w:hAnsi="Times New Roman"/>
                <w:sz w:val="14"/>
                <w:szCs w:val="14"/>
                <w:i w:val="1"/>
                <w:iCs w:val="1"/>
                <w:color w:val="auto"/>
              </w:rPr>
              <w:t>Capital Funds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95,652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84,404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124,038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34,526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158,564</w:t>
            </w:r>
          </w:p>
        </w:tc>
        <w:tc>
          <w:tcPr>
            <w:tcW w:w="10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23%</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1.9x</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w:t>
            </w:r>
          </w:p>
        </w:tc>
        <w:tc>
          <w:tcPr>
            <w:tcW w:w="10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1.6x</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Asia Funds</w:t>
            </w:r>
          </w:p>
        </w:tc>
        <w:tc>
          <w:tcPr>
            <w:tcW w:w="1520" w:type="dxa"/>
            <w:vAlign w:val="bottom"/>
            <w:tcBorders>
              <w:bottom w:val="single" w:sz="8" w:color="CCEEFF"/>
            </w:tcBorders>
            <w:gridSpan w:val="7"/>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Asia 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0.9x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0.7x</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Asia II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1.9x</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Asia III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3,316</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5.3x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3.8x</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Asia IV</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2.1x</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Asia V</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5,548</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1.4x</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Asia VI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1.6x</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Asia VII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8,807</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1.5x</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Asia VIII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1.3x</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80" w:type="dxa"/>
            <w:vAlign w:val="bottom"/>
            <w:gridSpan w:val="8"/>
          </w:tcPr>
          <w:p>
            <w:pPr>
              <w:spacing w:after="0"/>
              <w:rPr>
                <w:sz w:val="20"/>
                <w:szCs w:val="20"/>
                <w:color w:val="auto"/>
              </w:rPr>
            </w:pPr>
            <w:r>
              <w:rPr>
                <w:rFonts w:ascii="Times New Roman" w:cs="Times New Roman" w:eastAsia="Times New Roman" w:hAnsi="Times New Roman"/>
                <w:sz w:val="14"/>
                <w:szCs w:val="14"/>
                <w:i w:val="1"/>
                <w:iCs w:val="1"/>
                <w:color w:val="auto"/>
              </w:rPr>
              <w:t>Asia Funds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19,773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17,333</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24,201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11,071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35,272</w:t>
            </w:r>
          </w:p>
        </w:tc>
        <w:tc>
          <w:tcPr>
            <w:tcW w:w="10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20%</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2.0x</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14%</w:t>
            </w:r>
          </w:p>
        </w:tc>
        <w:tc>
          <w:tcPr>
            <w:tcW w:w="10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1.6x</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180" w:type="dxa"/>
            <w:vAlign w:val="bottom"/>
            <w:gridSpan w:val="8"/>
            <w:shd w:val="clear" w:color="auto" w:fill="CCEEFF"/>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Healthcare Funds</w:t>
            </w: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104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color w:val="auto"/>
              </w:rPr>
              <w:t>THP I</w:t>
            </w:r>
          </w:p>
        </w:tc>
        <w:tc>
          <w:tcPr>
            <w:tcW w:w="1140" w:type="dxa"/>
            <w:vAlign w:val="bottom"/>
            <w:tcBorders>
              <w:top w:val="single" w:sz="8" w:color="CCEEFF"/>
            </w:tcBorders>
            <w:gridSpan w:val="5"/>
          </w:tcPr>
          <w:p>
            <w:pPr>
              <w:spacing w:after="0"/>
              <w:rPr>
                <w:sz w:val="16"/>
                <w:szCs w:val="16"/>
                <w:color w:val="auto"/>
              </w:rPr>
            </w:pP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2,704</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2,496</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3,192</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4,376</w:t>
            </w:r>
          </w:p>
        </w:tc>
        <w:tc>
          <w:tcPr>
            <w:tcW w:w="10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1.7x</w:t>
            </w:r>
          </w:p>
        </w:tc>
        <w:tc>
          <w:tcPr>
            <w:tcW w:w="7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1.4x</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THP II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THP III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7"/>
                <w:szCs w:val="17"/>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NM</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Healthcare Funds</w:t>
            </w: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8,225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5,557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2,331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6,672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9,003</w:t>
            </w: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21%</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1.7x</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13%</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1.4x</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Continuation Vehicles</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TPG AAF</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TPG AION</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0.7x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0.7x</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Continuation Vehicles</w:t>
            </w: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1,524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1,521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2,720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154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2,874</w:t>
            </w: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35%</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1.9x</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29%</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1.7x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auto"/>
            </w:tcBorders>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Platform: Growth</w:t>
            </w:r>
          </w:p>
        </w:tc>
        <w:tc>
          <w:tcPr>
            <w:tcW w:w="1060" w:type="dxa"/>
            <w:vAlign w:val="bottom"/>
            <w:tcBorders>
              <w:bottom w:val="single" w:sz="8" w:color="CCEEFF"/>
            </w:tcBorders>
            <w:gridSpan w:val="3"/>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Growth Funds</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STAR</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1.3x</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Growth II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5,336</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2.0x</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Growth III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1.6x</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Growth IV</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7,459</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1.6x</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Gator</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1.7x</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Growth V</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5,449</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1.3x</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Growth VI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80" w:type="dxa"/>
            <w:vAlign w:val="bottom"/>
            <w:gridSpan w:val="8"/>
          </w:tcPr>
          <w:p>
            <w:pPr>
              <w:spacing w:after="0"/>
              <w:rPr>
                <w:sz w:val="20"/>
                <w:szCs w:val="20"/>
                <w:color w:val="auto"/>
              </w:rPr>
            </w:pPr>
            <w:r>
              <w:rPr>
                <w:rFonts w:ascii="Times New Roman" w:cs="Times New Roman" w:eastAsia="Times New Roman" w:hAnsi="Times New Roman"/>
                <w:sz w:val="14"/>
                <w:szCs w:val="14"/>
                <w:i w:val="1"/>
                <w:iCs w:val="1"/>
                <w:color w:val="auto"/>
              </w:rPr>
              <w:t>Growth Funds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18,741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16,978</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19,339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12,409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31,748</w:t>
            </w:r>
          </w:p>
        </w:tc>
        <w:tc>
          <w:tcPr>
            <w:tcW w:w="10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18%</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1.9x</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12%</w:t>
            </w:r>
          </w:p>
        </w:tc>
        <w:tc>
          <w:tcPr>
            <w:tcW w:w="10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1.5x</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auto"/>
            </w:tcBorders>
            <w:gridSpan w:val="7"/>
            <w:shd w:val="clear" w:color="auto" w:fill="CCEEFF"/>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Tech Adjacencies Funds</w:t>
            </w:r>
          </w:p>
        </w:tc>
        <w:tc>
          <w:tcPr>
            <w:tcW w:w="7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TTAD 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2,411</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1.4x</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TTAD II</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5,447</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TTAD III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100" w:type="dxa"/>
            <w:vAlign w:val="bottom"/>
          </w:tcPr>
          <w:p>
            <w:pPr>
              <w:spacing w:after="0"/>
              <w:rPr>
                <w:sz w:val="17"/>
                <w:szCs w:val="17"/>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NM</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Tech Adjacencies Funds</w:t>
            </w:r>
          </w:p>
        </w:tc>
        <w:tc>
          <w:tcPr>
            <w:tcW w:w="1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7,280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5,330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2,184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6,943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9,127</w:t>
            </w: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19%</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1.7x</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1.5x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TDM</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1.5x</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LSI</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1.3x</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TECA</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2.2x</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NM</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1.6x</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TPG Atlas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1.2x</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TPG Sports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NM</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gridSpan w:val="2"/>
          </w:tcPr>
          <w:p>
            <w:pPr>
              <w:jc w:val="center"/>
              <w:ind w:left="169"/>
              <w:spacing w:after="0"/>
              <w:rPr>
                <w:sz w:val="20"/>
                <w:szCs w:val="20"/>
                <w:color w:val="auto"/>
              </w:rPr>
            </w:pPr>
            <w:r>
              <w:rPr>
                <w:rFonts w:ascii="Times New Roman" w:cs="Times New Roman" w:eastAsia="Times New Roman" w:hAnsi="Times New Roman"/>
                <w:sz w:val="13"/>
                <w:szCs w:val="13"/>
                <w:b w:val="1"/>
                <w:bCs w:val="1"/>
                <w:color w:val="auto"/>
                <w:w w:val="92"/>
              </w:rPr>
              <w:t>Vintage</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Realized</w:t>
            </w:r>
          </w:p>
        </w:tc>
        <w:tc>
          <w:tcPr>
            <w:tcW w:w="120" w:type="dxa"/>
            <w:vAlign w:val="bottom"/>
          </w:tcPr>
          <w:p>
            <w:pPr>
              <w:spacing w:after="0"/>
              <w:rPr>
                <w:sz w:val="12"/>
                <w:szCs w:val="12"/>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Unrealized</w:t>
            </w:r>
          </w:p>
        </w:tc>
        <w:tc>
          <w:tcPr>
            <w:tcW w:w="120" w:type="dxa"/>
            <w:vAlign w:val="bottom"/>
          </w:tcPr>
          <w:p>
            <w:pPr>
              <w:spacing w:after="0"/>
              <w:rPr>
                <w:sz w:val="12"/>
                <w:szCs w:val="12"/>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9"/>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Fund</w:t>
            </w:r>
          </w:p>
        </w:tc>
        <w:tc>
          <w:tcPr>
            <w:tcW w:w="1080" w:type="dxa"/>
            <w:vAlign w:val="bottom"/>
            <w:gridSpan w:val="2"/>
          </w:tcPr>
          <w:p>
            <w:pPr>
              <w:jc w:val="center"/>
              <w:ind w:left="169"/>
              <w:spacing w:after="0"/>
              <w:rPr>
                <w:sz w:val="20"/>
                <w:szCs w:val="20"/>
                <w:color w:val="auto"/>
              </w:rPr>
            </w:pPr>
            <w:r>
              <w:rPr>
                <w:rFonts w:ascii="Times New Roman" w:cs="Times New Roman" w:eastAsia="Times New Roman" w:hAnsi="Times New Roman"/>
                <w:sz w:val="13"/>
                <w:szCs w:val="13"/>
                <w:b w:val="1"/>
                <w:bCs w:val="1"/>
                <w:color w:val="auto"/>
                <w:w w:val="90"/>
              </w:rPr>
              <w:t>Year</w:t>
            </w:r>
            <w:r>
              <w:rPr>
                <w:rFonts w:ascii="Times New Roman" w:cs="Times New Roman" w:eastAsia="Times New Roman" w:hAnsi="Times New Roman"/>
                <w:sz w:val="16"/>
                <w:szCs w:val="16"/>
                <w:b w:val="1"/>
                <w:bCs w:val="1"/>
                <w:color w:val="auto"/>
                <w:w w:val="90"/>
                <w:vertAlign w:val="superscript"/>
              </w:rPr>
              <w:t>(1)</w:t>
            </w: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Committed</w:t>
            </w:r>
            <w:r>
              <w:rPr>
                <w:rFonts w:ascii="Times New Roman" w:cs="Times New Roman" w:eastAsia="Times New Roman" w:hAnsi="Times New Roman"/>
                <w:sz w:val="16"/>
                <w:szCs w:val="16"/>
                <w:b w:val="1"/>
                <w:bCs w:val="1"/>
                <w:color w:val="auto"/>
                <w:w w:val="92"/>
                <w:vertAlign w:val="superscript"/>
              </w:rPr>
              <w:t>(2)</w:t>
            </w:r>
          </w:p>
        </w:tc>
        <w:tc>
          <w:tcPr>
            <w:tcW w:w="10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Invested</w:t>
            </w:r>
            <w:r>
              <w:rPr>
                <w:rFonts w:ascii="Times New Roman" w:cs="Times New Roman" w:eastAsia="Times New Roman" w:hAnsi="Times New Roman"/>
                <w:sz w:val="16"/>
                <w:szCs w:val="16"/>
                <w:b w:val="1"/>
                <w:bCs w:val="1"/>
                <w:color w:val="auto"/>
                <w:w w:val="94"/>
                <w:vertAlign w:val="superscript"/>
              </w:rPr>
              <w:t>(3)</w:t>
            </w:r>
          </w:p>
        </w:tc>
        <w:tc>
          <w:tcPr>
            <w:tcW w:w="120" w:type="dxa"/>
            <w:vAlign w:val="bottom"/>
          </w:tcPr>
          <w:p>
            <w:pPr>
              <w:spacing w:after="0"/>
              <w:rPr>
                <w:sz w:val="16"/>
                <w:szCs w:val="16"/>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(4)</w:t>
            </w:r>
          </w:p>
        </w:tc>
        <w:tc>
          <w:tcPr>
            <w:tcW w:w="12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(5)</w:t>
            </w:r>
          </w:p>
        </w:tc>
        <w:tc>
          <w:tcPr>
            <w:tcW w:w="120" w:type="dxa"/>
            <w:vAlign w:val="bottom"/>
          </w:tcPr>
          <w:p>
            <w:pPr>
              <w:spacing w:after="0"/>
              <w:rPr>
                <w:sz w:val="16"/>
                <w:szCs w:val="16"/>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(6)</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Gross IRR</w:t>
            </w:r>
            <w:r>
              <w:rPr>
                <w:rFonts w:ascii="Times New Roman" w:cs="Times New Roman" w:eastAsia="Times New Roman" w:hAnsi="Times New Roman"/>
                <w:sz w:val="16"/>
                <w:szCs w:val="16"/>
                <w:b w:val="1"/>
                <w:bCs w:val="1"/>
                <w:color w:val="auto"/>
                <w:vertAlign w:val="superscript"/>
              </w:rPr>
              <w:t>(7)</w:t>
            </w:r>
          </w:p>
        </w:tc>
        <w:tc>
          <w:tcPr>
            <w:tcW w:w="74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21"/>
                <w:szCs w:val="21"/>
                <w:b w:val="1"/>
                <w:bCs w:val="1"/>
                <w:color w:val="auto"/>
                <w:w w:val="93"/>
                <w:vertAlign w:val="subscript"/>
              </w:rPr>
              <w:t>MoM</w:t>
            </w:r>
            <w:r>
              <w:rPr>
                <w:rFonts w:ascii="Times New Roman" w:cs="Times New Roman" w:eastAsia="Times New Roman" w:hAnsi="Times New Roman"/>
                <w:sz w:val="8"/>
                <w:szCs w:val="8"/>
                <w:b w:val="1"/>
                <w:bCs w:val="1"/>
                <w:color w:val="auto"/>
                <w:w w:val="93"/>
              </w:rPr>
              <w:t>(7)</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Net IRR</w:t>
            </w:r>
            <w:r>
              <w:rPr>
                <w:rFonts w:ascii="Times New Roman" w:cs="Times New Roman" w:eastAsia="Times New Roman" w:hAnsi="Times New Roman"/>
                <w:sz w:val="16"/>
                <w:szCs w:val="16"/>
                <w:b w:val="1"/>
                <w:bCs w:val="1"/>
                <w:color w:val="auto"/>
                <w:vertAlign w:val="superscript"/>
              </w:rPr>
              <w:t>(8)</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Net MoM</w:t>
            </w:r>
            <w:r>
              <w:rPr>
                <w:rFonts w:ascii="Times New Roman" w:cs="Times New Roman" w:eastAsia="Times New Roman" w:hAnsi="Times New Roman"/>
                <w:sz w:val="16"/>
                <w:szCs w:val="16"/>
                <w:b w:val="1"/>
                <w:bCs w:val="1"/>
                <w:color w:val="auto"/>
                <w:w w:val="93"/>
                <w:vertAlign w:val="superscript"/>
              </w:rPr>
              <w:t>(9)</w:t>
            </w:r>
          </w:p>
        </w:tc>
      </w:tr>
      <w:tr>
        <w:trPr>
          <w:trHeight w:val="34"/>
        </w:trPr>
        <w:tc>
          <w:tcPr>
            <w:tcW w:w="2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2460" w:type="dxa"/>
            <w:vAlign w:val="bottom"/>
            <w:gridSpan w:val="10"/>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Platform: Impact</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48"/>
        </w:trPr>
        <w:tc>
          <w:tcPr>
            <w:tcW w:w="20" w:type="dxa"/>
            <w:vAlign w:val="bottom"/>
            <w:tcBorders>
              <w:top w:val="single" w:sz="8" w:color="CCEEFF"/>
            </w:tcBorders>
          </w:tcPr>
          <w:p>
            <w:pPr>
              <w:spacing w:after="0"/>
              <w:rPr>
                <w:sz w:val="12"/>
                <w:szCs w:val="12"/>
                <w:color w:val="auto"/>
              </w:rPr>
            </w:pPr>
          </w:p>
        </w:tc>
        <w:tc>
          <w:tcPr>
            <w:tcW w:w="1080" w:type="dxa"/>
            <w:vAlign w:val="bottom"/>
            <w:tcBorders>
              <w:top w:val="single" w:sz="8" w:color="auto"/>
            </w:tcBorders>
            <w:gridSpan w:val="4"/>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The Rise Funds</w:t>
            </w:r>
          </w:p>
        </w:tc>
        <w:tc>
          <w:tcPr>
            <w:tcW w:w="1380" w:type="dxa"/>
            <w:vAlign w:val="bottom"/>
            <w:tcBorders>
              <w:top w:val="single" w:sz="8" w:color="CCEEFF"/>
            </w:tcBorders>
            <w:gridSpan w:val="6"/>
          </w:tcPr>
          <w:p>
            <w:pPr>
              <w:spacing w:after="0"/>
              <w:rPr>
                <w:sz w:val="12"/>
                <w:szCs w:val="12"/>
                <w:color w:val="auto"/>
              </w:rPr>
            </w:pPr>
          </w:p>
        </w:tc>
        <w:tc>
          <w:tcPr>
            <w:tcW w:w="9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460" w:type="dxa"/>
            <w:vAlign w:val="bottom"/>
            <w:gridSpan w:val="10"/>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Rise 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2,029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3,827</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195"/>
        </w:trPr>
        <w:tc>
          <w:tcPr>
            <w:tcW w:w="20" w:type="dxa"/>
            <w:vAlign w:val="bottom"/>
          </w:tcPr>
          <w:p>
            <w:pPr>
              <w:spacing w:after="0"/>
              <w:rPr>
                <w:sz w:val="16"/>
                <w:szCs w:val="16"/>
                <w:color w:val="auto"/>
              </w:rPr>
            </w:pPr>
          </w:p>
        </w:tc>
        <w:tc>
          <w:tcPr>
            <w:tcW w:w="2460" w:type="dxa"/>
            <w:vAlign w:val="bottom"/>
            <w:gridSpan w:val="10"/>
          </w:tcPr>
          <w:p>
            <w:pPr>
              <w:ind w:left="120"/>
              <w:spacing w:after="0"/>
              <w:rPr>
                <w:sz w:val="20"/>
                <w:szCs w:val="20"/>
                <w:color w:val="auto"/>
              </w:rPr>
            </w:pPr>
            <w:r>
              <w:rPr>
                <w:rFonts w:ascii="Times New Roman" w:cs="Times New Roman" w:eastAsia="Times New Roman" w:hAnsi="Times New Roman"/>
                <w:sz w:val="14"/>
                <w:szCs w:val="14"/>
                <w:color w:val="auto"/>
              </w:rPr>
              <w:t>Rise II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3,325</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210"/>
        </w:trPr>
        <w:tc>
          <w:tcPr>
            <w:tcW w:w="20" w:type="dxa"/>
            <w:vAlign w:val="bottom"/>
            <w:shd w:val="clear" w:color="auto" w:fill="CCEEFF"/>
          </w:tcPr>
          <w:p>
            <w:pPr>
              <w:spacing w:after="0"/>
              <w:rPr>
                <w:sz w:val="18"/>
                <w:szCs w:val="18"/>
                <w:color w:val="auto"/>
              </w:rPr>
            </w:pPr>
          </w:p>
        </w:tc>
        <w:tc>
          <w:tcPr>
            <w:tcW w:w="2460" w:type="dxa"/>
            <w:vAlign w:val="bottom"/>
            <w:gridSpan w:val="10"/>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Rise III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196"/>
        </w:trPr>
        <w:tc>
          <w:tcPr>
            <w:tcW w:w="20" w:type="dxa"/>
            <w:vAlign w:val="bottom"/>
          </w:tcPr>
          <w:p>
            <w:pPr>
              <w:spacing w:after="0"/>
              <w:rPr>
                <w:sz w:val="17"/>
                <w:szCs w:val="17"/>
                <w:color w:val="auto"/>
              </w:rPr>
            </w:pPr>
          </w:p>
        </w:tc>
        <w:tc>
          <w:tcPr>
            <w:tcW w:w="2460" w:type="dxa"/>
            <w:vAlign w:val="bottom"/>
            <w:gridSpan w:val="10"/>
          </w:tcPr>
          <w:p>
            <w:pPr>
              <w:ind w:left="120"/>
              <w:spacing w:after="0"/>
              <w:rPr>
                <w:sz w:val="20"/>
                <w:szCs w:val="20"/>
                <w:color w:val="auto"/>
              </w:rPr>
            </w:pPr>
            <w:r>
              <w:rPr>
                <w:rFonts w:ascii="Times New Roman" w:cs="Times New Roman" w:eastAsia="Times New Roman" w:hAnsi="Times New Roman"/>
                <w:sz w:val="14"/>
                <w:szCs w:val="14"/>
                <w:color w:val="auto"/>
              </w:rPr>
              <w:t>Rise IV</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The Rise Funds</w:t>
            </w: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8,013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6,923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3,530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8,160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11,690</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16%</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1.7x</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1.4x</w:t>
            </w:r>
          </w:p>
        </w:tc>
      </w:tr>
      <w:tr>
        <w:trPr>
          <w:trHeight w:val="148"/>
        </w:trPr>
        <w:tc>
          <w:tcPr>
            <w:tcW w:w="20" w:type="dxa"/>
            <w:vAlign w:val="bottom"/>
          </w:tcPr>
          <w:p>
            <w:pPr>
              <w:spacing w:after="0"/>
              <w:rPr>
                <w:sz w:val="12"/>
                <w:szCs w:val="12"/>
                <w:color w:val="auto"/>
              </w:rPr>
            </w:pPr>
          </w:p>
        </w:tc>
        <w:tc>
          <w:tcPr>
            <w:tcW w:w="246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Rise Climate Funds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460" w:type="dxa"/>
            <w:vAlign w:val="bottom"/>
            <w:gridSpan w:val="10"/>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Rise Climate 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7,840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10,546</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203"/>
        </w:trPr>
        <w:tc>
          <w:tcPr>
            <w:tcW w:w="20" w:type="dxa"/>
            <w:vAlign w:val="bottom"/>
          </w:tcPr>
          <w:p>
            <w:pPr>
              <w:spacing w:after="0"/>
              <w:rPr>
                <w:sz w:val="17"/>
                <w:szCs w:val="17"/>
                <w:color w:val="auto"/>
              </w:rPr>
            </w:pPr>
          </w:p>
        </w:tc>
        <w:tc>
          <w:tcPr>
            <w:tcW w:w="2460" w:type="dxa"/>
            <w:vAlign w:val="bottom"/>
            <w:gridSpan w:val="10"/>
          </w:tcPr>
          <w:p>
            <w:pPr>
              <w:ind w:left="120"/>
              <w:spacing w:after="0" w:line="202" w:lineRule="exact"/>
              <w:rPr>
                <w:sz w:val="20"/>
                <w:szCs w:val="20"/>
                <w:color w:val="auto"/>
              </w:rPr>
            </w:pPr>
            <w:r>
              <w:rPr>
                <w:rFonts w:ascii="Times New Roman" w:cs="Times New Roman" w:eastAsia="Times New Roman" w:hAnsi="Times New Roman"/>
                <w:sz w:val="14"/>
                <w:szCs w:val="14"/>
                <w:color w:val="auto"/>
              </w:rPr>
              <w:t>Rise Climate II</w:t>
            </w:r>
            <w:r>
              <w:rPr>
                <w:rFonts w:ascii="Times New Roman" w:cs="Times New Roman" w:eastAsia="Times New Roman" w:hAnsi="Times New Roman"/>
                <w:sz w:val="18"/>
                <w:szCs w:val="18"/>
                <w:color w:val="auto"/>
                <w:vertAlign w:val="superscript"/>
              </w:rPr>
              <w:t>(11)</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2,916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2,916</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03"/>
        </w:trPr>
        <w:tc>
          <w:tcPr>
            <w:tcW w:w="20" w:type="dxa"/>
            <w:vAlign w:val="bottom"/>
            <w:shd w:val="clear" w:color="auto" w:fill="CCEEFF"/>
          </w:tcPr>
          <w:p>
            <w:pPr>
              <w:spacing w:after="0"/>
              <w:rPr>
                <w:sz w:val="17"/>
                <w:szCs w:val="17"/>
                <w:color w:val="auto"/>
              </w:rPr>
            </w:pPr>
          </w:p>
        </w:tc>
        <w:tc>
          <w:tcPr>
            <w:tcW w:w="2460" w:type="dxa"/>
            <w:vAlign w:val="bottom"/>
            <w:gridSpan w:val="10"/>
            <w:shd w:val="clear" w:color="auto" w:fill="CCEEFF"/>
          </w:tcPr>
          <w:p>
            <w:pPr>
              <w:ind w:left="120"/>
              <w:spacing w:after="0" w:line="202" w:lineRule="exact"/>
              <w:rPr>
                <w:sz w:val="20"/>
                <w:szCs w:val="20"/>
                <w:color w:val="auto"/>
              </w:rPr>
            </w:pPr>
            <w:r>
              <w:rPr>
                <w:rFonts w:ascii="Times New Roman" w:cs="Times New Roman" w:eastAsia="Times New Roman" w:hAnsi="Times New Roman"/>
                <w:sz w:val="14"/>
                <w:szCs w:val="14"/>
                <w:color w:val="auto"/>
              </w:rPr>
              <w:t>Rise Climate Global South</w:t>
            </w:r>
            <w:r>
              <w:rPr>
                <w:rFonts w:ascii="Times New Roman" w:cs="Times New Roman" w:eastAsia="Times New Roman" w:hAnsi="Times New Roman"/>
                <w:sz w:val="18"/>
                <w:szCs w:val="18"/>
                <w:color w:val="auto"/>
                <w:vertAlign w:val="superscript"/>
              </w:rPr>
              <w:t>(11)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96"/>
        </w:trPr>
        <w:tc>
          <w:tcPr>
            <w:tcW w:w="20" w:type="dxa"/>
            <w:vAlign w:val="bottom"/>
          </w:tcPr>
          <w:p>
            <w:pPr>
              <w:spacing w:after="0"/>
              <w:rPr>
                <w:sz w:val="17"/>
                <w:szCs w:val="17"/>
                <w:color w:val="auto"/>
              </w:rPr>
            </w:pPr>
          </w:p>
        </w:tc>
        <w:tc>
          <w:tcPr>
            <w:tcW w:w="2460" w:type="dxa"/>
            <w:vAlign w:val="bottom"/>
            <w:gridSpan w:val="10"/>
          </w:tcPr>
          <w:p>
            <w:pPr>
              <w:ind w:left="120"/>
              <w:spacing w:after="0"/>
              <w:rPr>
                <w:sz w:val="20"/>
                <w:szCs w:val="20"/>
                <w:color w:val="auto"/>
              </w:rPr>
            </w:pPr>
            <w:r>
              <w:rPr>
                <w:rFonts w:ascii="Times New Roman" w:cs="Times New Roman" w:eastAsia="Times New Roman" w:hAnsi="Times New Roman"/>
                <w:sz w:val="14"/>
                <w:szCs w:val="14"/>
                <w:color w:val="auto"/>
              </w:rPr>
              <w:t>Rise Climate TI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Rise Climate Funds</w:t>
            </w: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18,689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10,187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2,706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12,027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14,733</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24%</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1.6x</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1.3x</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2460" w:type="dxa"/>
            <w:vAlign w:val="bottom"/>
            <w:gridSpan w:val="10"/>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TSI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2.1x</w:t>
            </w:r>
          </w:p>
        </w:tc>
      </w:tr>
      <w:tr>
        <w:trPr>
          <w:trHeight w:val="195"/>
        </w:trPr>
        <w:tc>
          <w:tcPr>
            <w:tcW w:w="20" w:type="dxa"/>
            <w:vAlign w:val="bottom"/>
          </w:tcPr>
          <w:p>
            <w:pPr>
              <w:spacing w:after="0"/>
              <w:rPr>
                <w:sz w:val="16"/>
                <w:szCs w:val="16"/>
                <w:color w:val="auto"/>
              </w:rPr>
            </w:pPr>
          </w:p>
        </w:tc>
        <w:tc>
          <w:tcPr>
            <w:tcW w:w="2460" w:type="dxa"/>
            <w:vAlign w:val="bottom"/>
            <w:gridSpan w:val="10"/>
          </w:tcPr>
          <w:p>
            <w:pPr>
              <w:ind w:left="120"/>
              <w:spacing w:after="0"/>
              <w:rPr>
                <w:sz w:val="20"/>
                <w:szCs w:val="20"/>
                <w:color w:val="auto"/>
              </w:rPr>
            </w:pPr>
            <w:r>
              <w:rPr>
                <w:rFonts w:ascii="Times New Roman" w:cs="Times New Roman" w:eastAsia="Times New Roman" w:hAnsi="Times New Roman"/>
                <w:sz w:val="14"/>
                <w:szCs w:val="14"/>
                <w:color w:val="auto"/>
              </w:rPr>
              <w:t>Evercare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1.0x</w:t>
            </w:r>
          </w:p>
        </w:tc>
      </w:tr>
      <w:tr>
        <w:trPr>
          <w:trHeight w:val="210"/>
        </w:trPr>
        <w:tc>
          <w:tcPr>
            <w:tcW w:w="20" w:type="dxa"/>
            <w:vAlign w:val="bottom"/>
            <w:shd w:val="clear" w:color="auto" w:fill="CCEEFF"/>
          </w:tcPr>
          <w:p>
            <w:pPr>
              <w:spacing w:after="0"/>
              <w:rPr>
                <w:sz w:val="18"/>
                <w:szCs w:val="18"/>
                <w:color w:val="auto"/>
              </w:rPr>
            </w:pPr>
          </w:p>
        </w:tc>
        <w:tc>
          <w:tcPr>
            <w:tcW w:w="2460" w:type="dxa"/>
            <w:vAlign w:val="bottom"/>
            <w:gridSpan w:val="10"/>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TPG NEXT</w:t>
            </w:r>
            <w:r>
              <w:rPr>
                <w:rFonts w:ascii="Times New Roman" w:cs="Times New Roman" w:eastAsia="Times New Roman" w:hAnsi="Times New Roman"/>
                <w:sz w:val="18"/>
                <w:szCs w:val="18"/>
                <w:color w:val="auto"/>
                <w:vertAlign w:val="superscript"/>
              </w:rPr>
              <w:t>(12)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0.7x</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Platform: Credit</w:t>
            </w:r>
          </w:p>
        </w:tc>
        <w:tc>
          <w:tcPr>
            <w:tcW w:w="1420" w:type="dxa"/>
            <w:vAlign w:val="bottom"/>
            <w:tcBorders>
              <w:bottom w:val="single" w:sz="8" w:color="CCEEFF"/>
            </w:tcBorders>
            <w:gridSpan w:val="8"/>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r>
      <w:tr>
        <w:trPr>
          <w:trHeight w:val="148"/>
        </w:trPr>
        <w:tc>
          <w:tcPr>
            <w:tcW w:w="20" w:type="dxa"/>
            <w:vAlign w:val="bottom"/>
          </w:tcPr>
          <w:p>
            <w:pPr>
              <w:spacing w:after="0"/>
              <w:rPr>
                <w:sz w:val="12"/>
                <w:szCs w:val="12"/>
                <w:color w:val="auto"/>
              </w:rPr>
            </w:pPr>
          </w:p>
        </w:tc>
        <w:tc>
          <w:tcPr>
            <w:tcW w:w="246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TPG Credit Solutions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460" w:type="dxa"/>
            <w:vAlign w:val="bottom"/>
            <w:gridSpan w:val="10"/>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Credit Solutions 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2,765</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195"/>
        </w:trPr>
        <w:tc>
          <w:tcPr>
            <w:tcW w:w="20" w:type="dxa"/>
            <w:vAlign w:val="bottom"/>
          </w:tcPr>
          <w:p>
            <w:pPr>
              <w:spacing w:after="0"/>
              <w:rPr>
                <w:sz w:val="16"/>
                <w:szCs w:val="16"/>
                <w:color w:val="auto"/>
              </w:rPr>
            </w:pPr>
          </w:p>
        </w:tc>
        <w:tc>
          <w:tcPr>
            <w:tcW w:w="2460" w:type="dxa"/>
            <w:vAlign w:val="bottom"/>
            <w:gridSpan w:val="10"/>
          </w:tcPr>
          <w:p>
            <w:pPr>
              <w:ind w:left="120"/>
              <w:spacing w:after="0"/>
              <w:rPr>
                <w:sz w:val="20"/>
                <w:szCs w:val="20"/>
                <w:color w:val="auto"/>
              </w:rPr>
            </w:pPr>
            <w:r>
              <w:rPr>
                <w:rFonts w:ascii="Times New Roman" w:cs="Times New Roman" w:eastAsia="Times New Roman" w:hAnsi="Times New Roman"/>
                <w:sz w:val="14"/>
                <w:szCs w:val="14"/>
                <w:color w:val="auto"/>
              </w:rPr>
              <w:t>Credit Solutions I Dislocation A</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210"/>
        </w:trPr>
        <w:tc>
          <w:tcPr>
            <w:tcW w:w="20" w:type="dxa"/>
            <w:vAlign w:val="bottom"/>
            <w:shd w:val="clear" w:color="auto" w:fill="CCEEFF"/>
          </w:tcPr>
          <w:p>
            <w:pPr>
              <w:spacing w:after="0"/>
              <w:rPr>
                <w:sz w:val="18"/>
                <w:szCs w:val="18"/>
                <w:color w:val="auto"/>
              </w:rPr>
            </w:pPr>
          </w:p>
        </w:tc>
        <w:tc>
          <w:tcPr>
            <w:tcW w:w="2460" w:type="dxa"/>
            <w:vAlign w:val="bottom"/>
            <w:gridSpan w:val="10"/>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Credit Solutions I Dislocation B</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195"/>
        </w:trPr>
        <w:tc>
          <w:tcPr>
            <w:tcW w:w="20" w:type="dxa"/>
            <w:vAlign w:val="bottom"/>
          </w:tcPr>
          <w:p>
            <w:pPr>
              <w:spacing w:after="0"/>
              <w:rPr>
                <w:sz w:val="16"/>
                <w:szCs w:val="16"/>
                <w:color w:val="auto"/>
              </w:rPr>
            </w:pPr>
          </w:p>
        </w:tc>
        <w:tc>
          <w:tcPr>
            <w:tcW w:w="2460" w:type="dxa"/>
            <w:vAlign w:val="bottom"/>
            <w:gridSpan w:val="10"/>
          </w:tcPr>
          <w:p>
            <w:pPr>
              <w:ind w:left="120"/>
              <w:spacing w:after="0"/>
              <w:rPr>
                <w:sz w:val="20"/>
                <w:szCs w:val="20"/>
                <w:color w:val="auto"/>
              </w:rPr>
            </w:pPr>
            <w:r>
              <w:rPr>
                <w:rFonts w:ascii="Times New Roman" w:cs="Times New Roman" w:eastAsia="Times New Roman" w:hAnsi="Times New Roman"/>
                <w:sz w:val="14"/>
                <w:szCs w:val="14"/>
                <w:color w:val="auto"/>
              </w:rPr>
              <w:t>Credit Solutions II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2,481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4,386</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210"/>
        </w:trPr>
        <w:tc>
          <w:tcPr>
            <w:tcW w:w="20" w:type="dxa"/>
            <w:vAlign w:val="bottom"/>
            <w:shd w:val="clear" w:color="auto" w:fill="CCEEFF"/>
          </w:tcPr>
          <w:p>
            <w:pPr>
              <w:spacing w:after="0"/>
              <w:rPr>
                <w:sz w:val="18"/>
                <w:szCs w:val="18"/>
                <w:color w:val="auto"/>
              </w:rPr>
            </w:pPr>
          </w:p>
        </w:tc>
        <w:tc>
          <w:tcPr>
            <w:tcW w:w="2460" w:type="dxa"/>
            <w:vAlign w:val="bottom"/>
            <w:gridSpan w:val="10"/>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Credit Solutions II Dislocation A</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196"/>
        </w:trPr>
        <w:tc>
          <w:tcPr>
            <w:tcW w:w="20" w:type="dxa"/>
            <w:vAlign w:val="bottom"/>
          </w:tcPr>
          <w:p>
            <w:pPr>
              <w:spacing w:after="0"/>
              <w:rPr>
                <w:sz w:val="17"/>
                <w:szCs w:val="17"/>
                <w:color w:val="auto"/>
              </w:rPr>
            </w:pPr>
          </w:p>
        </w:tc>
        <w:tc>
          <w:tcPr>
            <w:tcW w:w="2460" w:type="dxa"/>
            <w:vAlign w:val="bottom"/>
            <w:gridSpan w:val="10"/>
          </w:tcPr>
          <w:p>
            <w:pPr>
              <w:ind w:left="120"/>
              <w:spacing w:after="0"/>
              <w:rPr>
                <w:sz w:val="20"/>
                <w:szCs w:val="20"/>
                <w:color w:val="auto"/>
              </w:rPr>
            </w:pPr>
            <w:r>
              <w:rPr>
                <w:rFonts w:ascii="Times New Roman" w:cs="Times New Roman" w:eastAsia="Times New Roman" w:hAnsi="Times New Roman"/>
                <w:sz w:val="14"/>
                <w:szCs w:val="14"/>
                <w:color w:val="auto"/>
              </w:rPr>
              <w:t>Credit Solutions III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2,893</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TPG Credit Solutions</w:t>
            </w: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13,680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8,769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6,404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5,680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12,084</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18%</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1.4x</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1.3x</w:t>
            </w:r>
          </w:p>
        </w:tc>
      </w:tr>
      <w:tr>
        <w:trPr>
          <w:trHeight w:val="149"/>
        </w:trPr>
        <w:tc>
          <w:tcPr>
            <w:tcW w:w="20" w:type="dxa"/>
            <w:vAlign w:val="bottom"/>
          </w:tcPr>
          <w:p>
            <w:pPr>
              <w:spacing w:after="0"/>
              <w:rPr>
                <w:sz w:val="12"/>
                <w:szCs w:val="12"/>
                <w:color w:val="auto"/>
              </w:rPr>
            </w:pPr>
          </w:p>
        </w:tc>
        <w:tc>
          <w:tcPr>
            <w:tcW w:w="246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Essential Housing</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460" w:type="dxa"/>
            <w:vAlign w:val="bottom"/>
            <w:gridSpan w:val="10"/>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Essential Housing 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195"/>
        </w:trPr>
        <w:tc>
          <w:tcPr>
            <w:tcW w:w="20" w:type="dxa"/>
            <w:vAlign w:val="bottom"/>
          </w:tcPr>
          <w:p>
            <w:pPr>
              <w:spacing w:after="0"/>
              <w:rPr>
                <w:sz w:val="16"/>
                <w:szCs w:val="16"/>
                <w:color w:val="auto"/>
              </w:rPr>
            </w:pPr>
          </w:p>
        </w:tc>
        <w:tc>
          <w:tcPr>
            <w:tcW w:w="2460" w:type="dxa"/>
            <w:vAlign w:val="bottom"/>
            <w:gridSpan w:val="10"/>
          </w:tcPr>
          <w:p>
            <w:pPr>
              <w:ind w:left="120"/>
              <w:spacing w:after="0"/>
              <w:rPr>
                <w:sz w:val="20"/>
                <w:szCs w:val="20"/>
                <w:color w:val="auto"/>
              </w:rPr>
            </w:pPr>
            <w:r>
              <w:rPr>
                <w:rFonts w:ascii="Times New Roman" w:cs="Times New Roman" w:eastAsia="Times New Roman" w:hAnsi="Times New Roman"/>
                <w:sz w:val="14"/>
                <w:szCs w:val="14"/>
                <w:color w:val="auto"/>
              </w:rPr>
              <w:t>Essential Housing II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210"/>
        </w:trPr>
        <w:tc>
          <w:tcPr>
            <w:tcW w:w="20" w:type="dxa"/>
            <w:vAlign w:val="bottom"/>
            <w:shd w:val="clear" w:color="auto" w:fill="CCEEFF"/>
          </w:tcPr>
          <w:p>
            <w:pPr>
              <w:spacing w:after="0"/>
              <w:rPr>
                <w:sz w:val="18"/>
                <w:szCs w:val="18"/>
                <w:color w:val="auto"/>
              </w:rPr>
            </w:pPr>
          </w:p>
        </w:tc>
        <w:tc>
          <w:tcPr>
            <w:tcW w:w="2460" w:type="dxa"/>
            <w:vAlign w:val="bottom"/>
            <w:gridSpan w:val="10"/>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Essential Housing III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196"/>
        </w:trPr>
        <w:tc>
          <w:tcPr>
            <w:tcW w:w="20" w:type="dxa"/>
            <w:vAlign w:val="bottom"/>
          </w:tcPr>
          <w:p>
            <w:pPr>
              <w:spacing w:after="0"/>
              <w:rPr>
                <w:sz w:val="17"/>
                <w:szCs w:val="17"/>
                <w:color w:val="auto"/>
              </w:rPr>
            </w:pPr>
          </w:p>
        </w:tc>
        <w:tc>
          <w:tcPr>
            <w:tcW w:w="2460" w:type="dxa"/>
            <w:vAlign w:val="bottom"/>
            <w:gridSpan w:val="10"/>
          </w:tcPr>
          <w:p>
            <w:pPr>
              <w:ind w:left="120"/>
              <w:spacing w:after="0"/>
              <w:rPr>
                <w:sz w:val="20"/>
                <w:szCs w:val="20"/>
                <w:color w:val="auto"/>
              </w:rPr>
            </w:pPr>
            <w:r>
              <w:rPr>
                <w:rFonts w:ascii="Times New Roman" w:cs="Times New Roman" w:eastAsia="Times New Roman" w:hAnsi="Times New Roman"/>
                <w:sz w:val="14"/>
                <w:szCs w:val="14"/>
                <w:color w:val="auto"/>
              </w:rPr>
              <w:t>Essential Housing IV</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Essential Housing</w:t>
            </w: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6,780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2,438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1,767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1,365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3,132</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16%</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1.3x</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12%</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1.2x</w:t>
            </w: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2460" w:type="dxa"/>
            <w:vAlign w:val="bottom"/>
            <w:gridSpan w:val="10"/>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Hybrid Solutions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auto"/>
            </w:tcBorders>
            <w:gridSpan w:val="9"/>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TPG Asset Based Finance</w:t>
            </w:r>
          </w:p>
        </w:tc>
        <w:tc>
          <w:tcPr>
            <w:tcW w:w="9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2460" w:type="dxa"/>
            <w:vAlign w:val="bottom"/>
            <w:gridSpan w:val="10"/>
          </w:tcPr>
          <w:p>
            <w:pPr>
              <w:ind w:left="120"/>
              <w:spacing w:after="0"/>
              <w:rPr>
                <w:sz w:val="20"/>
                <w:szCs w:val="20"/>
                <w:color w:val="auto"/>
              </w:rPr>
            </w:pPr>
            <w:r>
              <w:rPr>
                <w:rFonts w:ascii="Times New Roman" w:cs="Times New Roman" w:eastAsia="Times New Roman" w:hAnsi="Times New Roman"/>
                <w:sz w:val="14"/>
                <w:szCs w:val="14"/>
                <w:color w:val="auto"/>
              </w:rPr>
              <w:t>ABC Fund 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203"/>
        </w:trPr>
        <w:tc>
          <w:tcPr>
            <w:tcW w:w="20" w:type="dxa"/>
            <w:vAlign w:val="bottom"/>
            <w:shd w:val="clear" w:color="auto" w:fill="CCEEFF"/>
          </w:tcPr>
          <w:p>
            <w:pPr>
              <w:spacing w:after="0"/>
              <w:rPr>
                <w:sz w:val="17"/>
                <w:szCs w:val="17"/>
                <w:color w:val="auto"/>
              </w:rPr>
            </w:pPr>
          </w:p>
        </w:tc>
        <w:tc>
          <w:tcPr>
            <w:tcW w:w="2460" w:type="dxa"/>
            <w:vAlign w:val="bottom"/>
            <w:gridSpan w:val="10"/>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ABC Fund II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1,551</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w:t>
            </w:r>
          </w:p>
        </w:tc>
        <w:tc>
          <w:tcPr>
            <w:tcW w:w="10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1.1x</w:t>
            </w:r>
          </w:p>
        </w:tc>
        <w:tc>
          <w:tcPr>
            <w:tcW w:w="1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1.1x</w:t>
            </w:r>
          </w:p>
        </w:tc>
      </w:tr>
      <w:tr>
        <w:trPr>
          <w:trHeight w:val="382"/>
        </w:trPr>
        <w:tc>
          <w:tcPr>
            <w:tcW w:w="20" w:type="dxa"/>
            <w:vAlign w:val="bottom"/>
          </w:tcPr>
          <w:p>
            <w:pPr>
              <w:spacing w:after="0"/>
              <w:rPr>
                <w:sz w:val="24"/>
                <w:szCs w:val="24"/>
                <w:color w:val="auto"/>
              </w:rPr>
            </w:pPr>
          </w:p>
        </w:tc>
        <w:tc>
          <w:tcPr>
            <w:tcW w:w="2460" w:type="dxa"/>
            <w:vAlign w:val="bottom"/>
            <w:gridSpan w:val="10"/>
          </w:tcPr>
          <w:p>
            <w:pPr>
              <w:spacing w:after="0"/>
              <w:rPr>
                <w:sz w:val="20"/>
                <w:szCs w:val="20"/>
                <w:color w:val="auto"/>
              </w:rPr>
            </w:pPr>
            <w:r>
              <w:rPr>
                <w:rFonts w:ascii="Times New Roman" w:cs="Times New Roman" w:eastAsia="Times New Roman" w:hAnsi="Times New Roman"/>
                <w:sz w:val="14"/>
                <w:szCs w:val="14"/>
                <w:i w:val="1"/>
                <w:iCs w:val="1"/>
                <w:color w:val="auto"/>
              </w:rPr>
              <w:t>TPG Asset Based Finance</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3,131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2,282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434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2,450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2,884</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15%</w:t>
            </w:r>
          </w:p>
        </w:tc>
        <w:tc>
          <w:tcPr>
            <w:tcW w:w="1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rPr>
              <w:t>1.3x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11%</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1.2x</w:t>
            </w:r>
          </w:p>
        </w:tc>
      </w:tr>
      <w:tr>
        <w:trPr>
          <w:trHeight w:val="23"/>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2460" w:type="dxa"/>
            <w:vAlign w:val="bottom"/>
            <w:gridSpan w:val="10"/>
            <w:shd w:val="clear" w:color="auto" w:fill="CCEEFF"/>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TPG Direct Lending</w:t>
            </w:r>
            <w:r>
              <w:rPr>
                <w:rFonts w:ascii="Times New Roman" w:cs="Times New Roman" w:eastAsia="Times New Roman" w:hAnsi="Times New Roman"/>
                <w:sz w:val="17"/>
                <w:szCs w:val="17"/>
                <w:i w:val="1"/>
                <w:iCs w:val="1"/>
                <w:color w:val="auto"/>
                <w:vertAlign w:val="superscript"/>
              </w:rPr>
              <w:t>(13)</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1180" w:type="dxa"/>
            <w:vAlign w:val="bottom"/>
            <w:tcBorders>
              <w:top w:val="single" w:sz="8" w:color="auto"/>
            </w:tcBorders>
            <w:gridSpan w:val="6"/>
          </w:tcPr>
          <w:p>
            <w:pPr>
              <w:ind w:left="120"/>
              <w:spacing w:after="0"/>
              <w:rPr>
                <w:sz w:val="20"/>
                <w:szCs w:val="20"/>
                <w:color w:val="auto"/>
              </w:rPr>
            </w:pPr>
            <w:r>
              <w:rPr>
                <w:rFonts w:ascii="Times New Roman" w:cs="Times New Roman" w:eastAsia="Times New Roman" w:hAnsi="Times New Roman"/>
                <w:sz w:val="14"/>
                <w:szCs w:val="14"/>
                <w:color w:val="auto"/>
              </w:rPr>
              <w:t>MMDL I</w:t>
            </w:r>
          </w:p>
        </w:tc>
        <w:tc>
          <w:tcPr>
            <w:tcW w:w="1280" w:type="dxa"/>
            <w:vAlign w:val="bottom"/>
            <w:tcBorders>
              <w:top w:val="single" w:sz="8" w:color="CCEEFF"/>
            </w:tcBorders>
            <w:gridSpan w:val="4"/>
          </w:tcPr>
          <w:p>
            <w:pPr>
              <w:spacing w:after="0"/>
              <w:rPr>
                <w:sz w:val="16"/>
                <w:szCs w:val="16"/>
                <w:color w:val="auto"/>
              </w:rPr>
            </w:pP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1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1.6x</w:t>
            </w:r>
          </w:p>
        </w:tc>
        <w:tc>
          <w:tcPr>
            <w:tcW w:w="7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210"/>
        </w:trPr>
        <w:tc>
          <w:tcPr>
            <w:tcW w:w="20" w:type="dxa"/>
            <w:vAlign w:val="bottom"/>
            <w:shd w:val="clear" w:color="auto" w:fill="CCEEFF"/>
          </w:tcPr>
          <w:p>
            <w:pPr>
              <w:spacing w:after="0"/>
              <w:rPr>
                <w:sz w:val="18"/>
                <w:szCs w:val="18"/>
                <w:color w:val="auto"/>
              </w:rPr>
            </w:pPr>
          </w:p>
        </w:tc>
        <w:tc>
          <w:tcPr>
            <w:tcW w:w="2460" w:type="dxa"/>
            <w:vAlign w:val="bottom"/>
            <w:gridSpan w:val="10"/>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MMDL II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195"/>
        </w:trPr>
        <w:tc>
          <w:tcPr>
            <w:tcW w:w="20" w:type="dxa"/>
            <w:vAlign w:val="bottom"/>
          </w:tcPr>
          <w:p>
            <w:pPr>
              <w:spacing w:after="0"/>
              <w:rPr>
                <w:sz w:val="16"/>
                <w:szCs w:val="16"/>
                <w:color w:val="auto"/>
              </w:rPr>
            </w:pPr>
          </w:p>
        </w:tc>
        <w:tc>
          <w:tcPr>
            <w:tcW w:w="2460" w:type="dxa"/>
            <w:vAlign w:val="bottom"/>
            <w:gridSpan w:val="10"/>
          </w:tcPr>
          <w:p>
            <w:pPr>
              <w:ind w:left="120"/>
              <w:spacing w:after="0"/>
              <w:rPr>
                <w:sz w:val="20"/>
                <w:szCs w:val="20"/>
                <w:color w:val="auto"/>
              </w:rPr>
            </w:pPr>
            <w:r>
              <w:rPr>
                <w:rFonts w:ascii="Times New Roman" w:cs="Times New Roman" w:eastAsia="Times New Roman" w:hAnsi="Times New Roman"/>
                <w:sz w:val="14"/>
                <w:szCs w:val="14"/>
                <w:color w:val="auto"/>
              </w:rPr>
              <w:t>MMDL III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3,668</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210"/>
        </w:trPr>
        <w:tc>
          <w:tcPr>
            <w:tcW w:w="20" w:type="dxa"/>
            <w:vAlign w:val="bottom"/>
            <w:shd w:val="clear" w:color="auto" w:fill="CCEEFF"/>
          </w:tcPr>
          <w:p>
            <w:pPr>
              <w:spacing w:after="0"/>
              <w:rPr>
                <w:sz w:val="18"/>
                <w:szCs w:val="18"/>
                <w:color w:val="auto"/>
              </w:rPr>
            </w:pPr>
          </w:p>
        </w:tc>
        <w:tc>
          <w:tcPr>
            <w:tcW w:w="2460" w:type="dxa"/>
            <w:vAlign w:val="bottom"/>
            <w:gridSpan w:val="10"/>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MMDL IV</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195"/>
        </w:trPr>
        <w:tc>
          <w:tcPr>
            <w:tcW w:w="20" w:type="dxa"/>
            <w:vAlign w:val="bottom"/>
          </w:tcPr>
          <w:p>
            <w:pPr>
              <w:spacing w:after="0"/>
              <w:rPr>
                <w:sz w:val="16"/>
                <w:szCs w:val="16"/>
                <w:color w:val="auto"/>
              </w:rPr>
            </w:pPr>
          </w:p>
        </w:tc>
        <w:tc>
          <w:tcPr>
            <w:tcW w:w="2460" w:type="dxa"/>
            <w:vAlign w:val="bottom"/>
            <w:gridSpan w:val="10"/>
          </w:tcPr>
          <w:p>
            <w:pPr>
              <w:ind w:left="120"/>
              <w:spacing w:after="0"/>
              <w:rPr>
                <w:sz w:val="20"/>
                <w:szCs w:val="20"/>
                <w:color w:val="auto"/>
              </w:rPr>
            </w:pPr>
            <w:r>
              <w:rPr>
                <w:rFonts w:ascii="Times New Roman" w:cs="Times New Roman" w:eastAsia="Times New Roman" w:hAnsi="Times New Roman"/>
                <w:sz w:val="14"/>
                <w:szCs w:val="14"/>
                <w:color w:val="auto"/>
              </w:rPr>
              <w:t>MMDL IV Annex</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210"/>
        </w:trPr>
        <w:tc>
          <w:tcPr>
            <w:tcW w:w="20" w:type="dxa"/>
            <w:vAlign w:val="bottom"/>
            <w:shd w:val="clear" w:color="auto" w:fill="CCEEFF"/>
          </w:tcPr>
          <w:p>
            <w:pPr>
              <w:spacing w:after="0"/>
              <w:rPr>
                <w:sz w:val="18"/>
                <w:szCs w:val="18"/>
                <w:color w:val="auto"/>
              </w:rPr>
            </w:pPr>
          </w:p>
        </w:tc>
        <w:tc>
          <w:tcPr>
            <w:tcW w:w="2460" w:type="dxa"/>
            <w:vAlign w:val="bottom"/>
            <w:gridSpan w:val="10"/>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MMDL V</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196"/>
        </w:trPr>
        <w:tc>
          <w:tcPr>
            <w:tcW w:w="20" w:type="dxa"/>
            <w:vAlign w:val="bottom"/>
          </w:tcPr>
          <w:p>
            <w:pPr>
              <w:spacing w:after="0"/>
              <w:rPr>
                <w:sz w:val="17"/>
                <w:szCs w:val="17"/>
                <w:color w:val="auto"/>
              </w:rPr>
            </w:pPr>
          </w:p>
        </w:tc>
        <w:tc>
          <w:tcPr>
            <w:tcW w:w="2460" w:type="dxa"/>
            <w:vAlign w:val="bottom"/>
            <w:gridSpan w:val="10"/>
          </w:tcPr>
          <w:p>
            <w:pPr>
              <w:ind w:left="120"/>
              <w:spacing w:after="0"/>
              <w:rPr>
                <w:sz w:val="20"/>
                <w:szCs w:val="20"/>
                <w:color w:val="auto"/>
              </w:rPr>
            </w:pPr>
            <w:r>
              <w:rPr>
                <w:rFonts w:ascii="Times New Roman" w:cs="Times New Roman" w:eastAsia="Times New Roman" w:hAnsi="Times New Roman"/>
                <w:sz w:val="14"/>
                <w:szCs w:val="14"/>
                <w:color w:val="auto"/>
              </w:rPr>
              <w:t>MMDL VI</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460" w:type="dxa"/>
            <w:vAlign w:val="bottom"/>
            <w:tcBorders>
              <w:top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TPG Direct Lending</w:t>
            </w: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15,178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11,946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10,230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5,887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16,117</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13%</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1.5x</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1.4x</w:t>
            </w:r>
          </w:p>
        </w:tc>
      </w:tr>
      <w:tr>
        <w:trPr>
          <w:trHeight w:val="149"/>
        </w:trPr>
        <w:tc>
          <w:tcPr>
            <w:tcW w:w="20" w:type="dxa"/>
            <w:vAlign w:val="bottom"/>
          </w:tcPr>
          <w:p>
            <w:pPr>
              <w:spacing w:after="0"/>
              <w:rPr>
                <w:sz w:val="12"/>
                <w:szCs w:val="12"/>
                <w:color w:val="auto"/>
              </w:rPr>
            </w:pPr>
          </w:p>
        </w:tc>
        <w:tc>
          <w:tcPr>
            <w:tcW w:w="246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Continuation Vehicles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460" w:type="dxa"/>
            <w:vAlign w:val="bottom"/>
            <w:gridSpan w:val="10"/>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MMDL Continuation 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NM</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84"/>
        </w:trPr>
        <w:tc>
          <w:tcPr>
            <w:tcW w:w="20" w:type="dxa"/>
            <w:vAlign w:val="bottom"/>
          </w:tcPr>
          <w:p>
            <w:pPr>
              <w:spacing w:after="0"/>
              <w:rPr>
                <w:sz w:val="15"/>
                <w:szCs w:val="15"/>
                <w:color w:val="auto"/>
              </w:rPr>
            </w:pPr>
          </w:p>
        </w:tc>
        <w:tc>
          <w:tcPr>
            <w:tcW w:w="2460" w:type="dxa"/>
            <w:vAlign w:val="bottom"/>
            <w:gridSpan w:val="10"/>
          </w:tcPr>
          <w:p>
            <w:pPr>
              <w:spacing w:after="0"/>
              <w:rPr>
                <w:sz w:val="20"/>
                <w:szCs w:val="20"/>
                <w:color w:val="auto"/>
              </w:rPr>
            </w:pPr>
            <w:r>
              <w:rPr>
                <w:rFonts w:ascii="Times New Roman" w:cs="Times New Roman" w:eastAsia="Times New Roman" w:hAnsi="Times New Roman"/>
                <w:sz w:val="14"/>
                <w:szCs w:val="14"/>
                <w:i w:val="1"/>
                <w:iCs w:val="1"/>
                <w:color w:val="auto"/>
              </w:rPr>
              <w:t>Continuation Vehicles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1,207</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1,123</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63</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1,034</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1,097</w:t>
            </w:r>
          </w:p>
        </w:tc>
        <w:tc>
          <w:tcPr>
            <w:tcW w:w="100" w:type="dxa"/>
            <w:vAlign w:val="bottom"/>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NM</w:t>
            </w:r>
          </w:p>
        </w:tc>
        <w:tc>
          <w:tcPr>
            <w:tcW w:w="10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NM</w:t>
            </w:r>
          </w:p>
        </w:tc>
        <w:tc>
          <w:tcPr>
            <w:tcW w:w="10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NM</w:t>
            </w:r>
          </w:p>
        </w:tc>
        <w:tc>
          <w:tcPr>
            <w:tcW w:w="100" w:type="dxa"/>
            <w:vAlign w:val="bottom"/>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NM</w:t>
            </w: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40" w:type="dxa"/>
            <w:vAlign w:val="bottom"/>
            <w:gridSpan w:val="2"/>
          </w:tcPr>
          <w:p>
            <w:pPr>
              <w:jc w:val="center"/>
              <w:ind w:left="329"/>
              <w:spacing w:after="0"/>
              <w:rPr>
                <w:sz w:val="20"/>
                <w:szCs w:val="20"/>
                <w:color w:val="auto"/>
              </w:rPr>
            </w:pPr>
            <w:r>
              <w:rPr>
                <w:rFonts w:ascii="Times New Roman" w:cs="Times New Roman" w:eastAsia="Times New Roman" w:hAnsi="Times New Roman"/>
                <w:sz w:val="13"/>
                <w:szCs w:val="13"/>
                <w:b w:val="1"/>
                <w:bCs w:val="1"/>
                <w:color w:val="auto"/>
                <w:w w:val="92"/>
              </w:rPr>
              <w:t>Vintage</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Realized</w:t>
            </w:r>
          </w:p>
        </w:tc>
        <w:tc>
          <w:tcPr>
            <w:tcW w:w="12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Unrealized</w:t>
            </w:r>
          </w:p>
        </w:tc>
        <w:tc>
          <w:tcPr>
            <w:tcW w:w="120" w:type="dxa"/>
            <w:vAlign w:val="bottom"/>
          </w:tcPr>
          <w:p>
            <w:pPr>
              <w:spacing w:after="0"/>
              <w:rPr>
                <w:sz w:val="12"/>
                <w:szCs w:val="12"/>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Gross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4"/>
          </w:tcPr>
          <w:p>
            <w:pPr>
              <w:ind w:left="320"/>
              <w:spacing w:after="0"/>
              <w:rPr>
                <w:sz w:val="20"/>
                <w:szCs w:val="20"/>
                <w:color w:val="auto"/>
              </w:rPr>
            </w:pPr>
            <w:r>
              <w:rPr>
                <w:rFonts w:ascii="Times New Roman" w:cs="Times New Roman" w:eastAsia="Times New Roman" w:hAnsi="Times New Roman"/>
                <w:sz w:val="13"/>
                <w:szCs w:val="13"/>
                <w:b w:val="1"/>
                <w:bCs w:val="1"/>
                <w:color w:val="auto"/>
              </w:rPr>
              <w:t>Fund</w:t>
            </w:r>
          </w:p>
        </w:tc>
        <w:tc>
          <w:tcPr>
            <w:tcW w:w="1240" w:type="dxa"/>
            <w:vAlign w:val="bottom"/>
            <w:gridSpan w:val="2"/>
          </w:tcPr>
          <w:p>
            <w:pPr>
              <w:jc w:val="center"/>
              <w:ind w:left="329"/>
              <w:spacing w:after="0"/>
              <w:rPr>
                <w:sz w:val="20"/>
                <w:szCs w:val="20"/>
                <w:color w:val="auto"/>
              </w:rPr>
            </w:pPr>
            <w:r>
              <w:rPr>
                <w:rFonts w:ascii="Times New Roman" w:cs="Times New Roman" w:eastAsia="Times New Roman" w:hAnsi="Times New Roman"/>
                <w:sz w:val="13"/>
                <w:szCs w:val="13"/>
                <w:b w:val="1"/>
                <w:bCs w:val="1"/>
                <w:color w:val="auto"/>
                <w:w w:val="90"/>
              </w:rPr>
              <w:t>Year</w:t>
            </w:r>
            <w:r>
              <w:rPr>
                <w:rFonts w:ascii="Times New Roman" w:cs="Times New Roman" w:eastAsia="Times New Roman" w:hAnsi="Times New Roman"/>
                <w:sz w:val="16"/>
                <w:szCs w:val="16"/>
                <w:b w:val="1"/>
                <w:bCs w:val="1"/>
                <w:color w:val="auto"/>
                <w:w w:val="90"/>
                <w:vertAlign w:val="superscript"/>
              </w:rPr>
              <w:t>(1)</w:t>
            </w: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Committed</w:t>
            </w:r>
            <w:r>
              <w:rPr>
                <w:rFonts w:ascii="Times New Roman" w:cs="Times New Roman" w:eastAsia="Times New Roman" w:hAnsi="Times New Roman"/>
                <w:sz w:val="16"/>
                <w:szCs w:val="16"/>
                <w:b w:val="1"/>
                <w:bCs w:val="1"/>
                <w:color w:val="auto"/>
                <w:w w:val="92"/>
                <w:vertAlign w:val="superscript"/>
              </w:rPr>
              <w:t>(2)</w:t>
            </w:r>
          </w:p>
        </w:tc>
        <w:tc>
          <w:tcPr>
            <w:tcW w:w="10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Invested</w:t>
            </w:r>
            <w:r>
              <w:rPr>
                <w:rFonts w:ascii="Times New Roman" w:cs="Times New Roman" w:eastAsia="Times New Roman" w:hAnsi="Times New Roman"/>
                <w:sz w:val="16"/>
                <w:szCs w:val="16"/>
                <w:b w:val="1"/>
                <w:bCs w:val="1"/>
                <w:color w:val="auto"/>
                <w:w w:val="94"/>
                <w:vertAlign w:val="superscript"/>
              </w:rPr>
              <w:t>(3)</w:t>
            </w:r>
          </w:p>
        </w:tc>
        <w:tc>
          <w:tcPr>
            <w:tcW w:w="120" w:type="dxa"/>
            <w:vAlign w:val="bottom"/>
          </w:tcPr>
          <w:p>
            <w:pPr>
              <w:spacing w:after="0"/>
              <w:rPr>
                <w:sz w:val="16"/>
                <w:szCs w:val="16"/>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(4)</w:t>
            </w:r>
          </w:p>
        </w:tc>
        <w:tc>
          <w:tcPr>
            <w:tcW w:w="12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(5)</w:t>
            </w:r>
          </w:p>
        </w:tc>
        <w:tc>
          <w:tcPr>
            <w:tcW w:w="120" w:type="dxa"/>
            <w:vAlign w:val="bottom"/>
          </w:tcPr>
          <w:p>
            <w:pPr>
              <w:spacing w:after="0"/>
              <w:rPr>
                <w:sz w:val="16"/>
                <w:szCs w:val="16"/>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(6)</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Gross IRR</w:t>
            </w:r>
            <w:r>
              <w:rPr>
                <w:rFonts w:ascii="Times New Roman" w:cs="Times New Roman" w:eastAsia="Times New Roman" w:hAnsi="Times New Roman"/>
                <w:sz w:val="16"/>
                <w:szCs w:val="16"/>
                <w:b w:val="1"/>
                <w:bCs w:val="1"/>
                <w:color w:val="auto"/>
                <w:vertAlign w:val="superscript"/>
              </w:rPr>
              <w:t>(7)</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87"/>
              </w:rPr>
              <w:t>MoM</w:t>
            </w:r>
            <w:r>
              <w:rPr>
                <w:rFonts w:ascii="Times New Roman" w:cs="Times New Roman" w:eastAsia="Times New Roman" w:hAnsi="Times New Roman"/>
                <w:sz w:val="16"/>
                <w:szCs w:val="16"/>
                <w:b w:val="1"/>
                <w:bCs w:val="1"/>
                <w:color w:val="auto"/>
                <w:w w:val="87"/>
                <w:vertAlign w:val="superscript"/>
              </w:rPr>
              <w:t>(7)</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Net IRR</w:t>
            </w:r>
            <w:r>
              <w:rPr>
                <w:rFonts w:ascii="Times New Roman" w:cs="Times New Roman" w:eastAsia="Times New Roman" w:hAnsi="Times New Roman"/>
                <w:sz w:val="16"/>
                <w:szCs w:val="16"/>
                <w:b w:val="1"/>
                <w:bCs w:val="1"/>
                <w:color w:val="auto"/>
                <w:vertAlign w:val="superscript"/>
              </w:rPr>
              <w:t>(8)</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Net MoM</w:t>
            </w:r>
            <w:r>
              <w:rPr>
                <w:rFonts w:ascii="Times New Roman" w:cs="Times New Roman" w:eastAsia="Times New Roman" w:hAnsi="Times New Roman"/>
                <w:sz w:val="16"/>
                <w:szCs w:val="16"/>
                <w:b w:val="1"/>
                <w:bCs w:val="1"/>
                <w:color w:val="auto"/>
                <w:w w:val="93"/>
                <w:vertAlign w:val="superscript"/>
              </w:rPr>
              <w:t>(9)</w:t>
            </w:r>
          </w:p>
        </w:tc>
      </w:tr>
      <w:tr>
        <w:trPr>
          <w:trHeight w:val="34"/>
        </w:trPr>
        <w:tc>
          <w:tcPr>
            <w:tcW w:w="2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r>
      <w:tr>
        <w:trPr>
          <w:trHeight w:val="148"/>
        </w:trPr>
        <w:tc>
          <w:tcPr>
            <w:tcW w:w="20" w:type="dxa"/>
            <w:vAlign w:val="bottom"/>
            <w:shd w:val="clear" w:color="auto" w:fill="CCEEFF"/>
          </w:tcPr>
          <w:p>
            <w:pPr>
              <w:spacing w:after="0"/>
              <w:rPr>
                <w:sz w:val="12"/>
                <w:szCs w:val="12"/>
                <w:color w:val="auto"/>
              </w:rPr>
            </w:pPr>
          </w:p>
        </w:tc>
        <w:tc>
          <w:tcPr>
            <w:tcW w:w="2260" w:type="dxa"/>
            <w:vAlign w:val="bottom"/>
            <w:gridSpan w:val="8"/>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Platform: Real Estate</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r>
      <w:tr>
        <w:trPr>
          <w:trHeight w:val="148"/>
        </w:trPr>
        <w:tc>
          <w:tcPr>
            <w:tcW w:w="20" w:type="dxa"/>
            <w:vAlign w:val="bottom"/>
          </w:tcPr>
          <w:p>
            <w:pPr>
              <w:spacing w:after="0"/>
              <w:rPr>
                <w:sz w:val="12"/>
                <w:szCs w:val="12"/>
                <w:color w:val="auto"/>
              </w:rPr>
            </w:pPr>
          </w:p>
        </w:tc>
        <w:tc>
          <w:tcPr>
            <w:tcW w:w="226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TPG Real Estate Partners</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26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TREP II</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3,576</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195"/>
        </w:trPr>
        <w:tc>
          <w:tcPr>
            <w:tcW w:w="20" w:type="dxa"/>
            <w:vAlign w:val="bottom"/>
          </w:tcPr>
          <w:p>
            <w:pPr>
              <w:spacing w:after="0"/>
              <w:rPr>
                <w:sz w:val="16"/>
                <w:szCs w:val="16"/>
                <w:color w:val="auto"/>
              </w:rPr>
            </w:pPr>
          </w:p>
        </w:tc>
        <w:tc>
          <w:tcPr>
            <w:tcW w:w="226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TREP III</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6,412</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1.6x</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210"/>
        </w:trPr>
        <w:tc>
          <w:tcPr>
            <w:tcW w:w="20" w:type="dxa"/>
            <w:vAlign w:val="bottom"/>
            <w:shd w:val="clear" w:color="auto" w:fill="CCEEFF"/>
          </w:tcPr>
          <w:p>
            <w:pPr>
              <w:spacing w:after="0"/>
              <w:rPr>
                <w:sz w:val="18"/>
                <w:szCs w:val="18"/>
                <w:color w:val="auto"/>
              </w:rPr>
            </w:pPr>
          </w:p>
        </w:tc>
        <w:tc>
          <w:tcPr>
            <w:tcW w:w="226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TREP IV</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190"/>
        </w:trPr>
        <w:tc>
          <w:tcPr>
            <w:tcW w:w="20" w:type="dxa"/>
            <w:vAlign w:val="bottom"/>
          </w:tcPr>
          <w:p>
            <w:pPr>
              <w:spacing w:after="0"/>
              <w:rPr>
                <w:sz w:val="16"/>
                <w:szCs w:val="16"/>
                <w:color w:val="auto"/>
              </w:rPr>
            </w:pPr>
          </w:p>
        </w:tc>
        <w:tc>
          <w:tcPr>
            <w:tcW w:w="2260" w:type="dxa"/>
            <w:vAlign w:val="bottom"/>
            <w:gridSpan w:val="8"/>
          </w:tcPr>
          <w:p>
            <w:pPr>
              <w:spacing w:after="0"/>
              <w:rPr>
                <w:sz w:val="20"/>
                <w:szCs w:val="20"/>
                <w:color w:val="auto"/>
              </w:rPr>
            </w:pPr>
            <w:r>
              <w:rPr>
                <w:rFonts w:ascii="Times New Roman" w:cs="Times New Roman" w:eastAsia="Times New Roman" w:hAnsi="Times New Roman"/>
                <w:sz w:val="14"/>
                <w:szCs w:val="14"/>
                <w:i w:val="1"/>
                <w:iCs w:val="1"/>
                <w:color w:val="auto"/>
              </w:rPr>
              <w:t>TPG Real Estate Partners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12,607</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11,972</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8,746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8,403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17,149</w:t>
            </w:r>
          </w:p>
        </w:tc>
        <w:tc>
          <w:tcPr>
            <w:tcW w:w="8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20%</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1.5x</w:t>
            </w:r>
          </w:p>
        </w:tc>
        <w:tc>
          <w:tcPr>
            <w:tcW w:w="8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12%</w:t>
            </w:r>
          </w:p>
        </w:tc>
        <w:tc>
          <w:tcPr>
            <w:tcW w:w="10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1.3x</w:t>
            </w:r>
          </w:p>
        </w:tc>
      </w:tr>
      <w:tr>
        <w:trPr>
          <w:trHeight w:val="189"/>
        </w:trPr>
        <w:tc>
          <w:tcPr>
            <w:tcW w:w="20" w:type="dxa"/>
            <w:vAlign w:val="bottom"/>
            <w:shd w:val="clear" w:color="auto" w:fill="CCEEFF"/>
          </w:tcPr>
          <w:p>
            <w:pPr>
              <w:spacing w:after="0"/>
              <w:rPr>
                <w:sz w:val="16"/>
                <w:szCs w:val="16"/>
                <w:color w:val="auto"/>
              </w:rPr>
            </w:pPr>
          </w:p>
        </w:tc>
        <w:tc>
          <w:tcPr>
            <w:tcW w:w="2260" w:type="dxa"/>
            <w:vAlign w:val="bottom"/>
            <w:gridSpan w:val="8"/>
            <w:shd w:val="clear" w:color="auto" w:fill="CCEEFF"/>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TPG AG Realty</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color w:val="auto"/>
              </w:rPr>
              <w:t>Realty I</w:t>
            </w:r>
          </w:p>
        </w:tc>
        <w:tc>
          <w:tcPr>
            <w:tcW w:w="1360" w:type="dxa"/>
            <w:vAlign w:val="bottom"/>
            <w:tcBorders>
              <w:top w:val="single" w:sz="8" w:color="CCEEFF"/>
            </w:tcBorders>
            <w:gridSpan w:val="4"/>
          </w:tcPr>
          <w:p>
            <w:pPr>
              <w:spacing w:after="0"/>
              <w:rPr>
                <w:sz w:val="16"/>
                <w:szCs w:val="16"/>
                <w:color w:val="auto"/>
              </w:rPr>
            </w:pP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1994</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2.2x</w:t>
            </w:r>
          </w:p>
        </w:tc>
        <w:tc>
          <w:tcPr>
            <w:tcW w:w="8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1.9x</w:t>
            </w:r>
          </w:p>
        </w:tc>
      </w:tr>
      <w:tr>
        <w:trPr>
          <w:trHeight w:val="210"/>
        </w:trPr>
        <w:tc>
          <w:tcPr>
            <w:tcW w:w="20" w:type="dxa"/>
            <w:vAlign w:val="bottom"/>
            <w:shd w:val="clear" w:color="auto" w:fill="CCEEFF"/>
          </w:tcPr>
          <w:p>
            <w:pPr>
              <w:spacing w:after="0"/>
              <w:rPr>
                <w:sz w:val="18"/>
                <w:szCs w:val="18"/>
                <w:color w:val="auto"/>
              </w:rPr>
            </w:pPr>
          </w:p>
        </w:tc>
        <w:tc>
          <w:tcPr>
            <w:tcW w:w="226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Realty II</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2.2x</w:t>
            </w:r>
          </w:p>
        </w:tc>
      </w:tr>
      <w:tr>
        <w:trPr>
          <w:trHeight w:val="195"/>
        </w:trPr>
        <w:tc>
          <w:tcPr>
            <w:tcW w:w="20" w:type="dxa"/>
            <w:vAlign w:val="bottom"/>
          </w:tcPr>
          <w:p>
            <w:pPr>
              <w:spacing w:after="0"/>
              <w:rPr>
                <w:sz w:val="16"/>
                <w:szCs w:val="16"/>
                <w:color w:val="auto"/>
              </w:rPr>
            </w:pPr>
          </w:p>
        </w:tc>
        <w:tc>
          <w:tcPr>
            <w:tcW w:w="226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Realty III</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1.3x</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210"/>
        </w:trPr>
        <w:tc>
          <w:tcPr>
            <w:tcW w:w="20" w:type="dxa"/>
            <w:vAlign w:val="bottom"/>
            <w:shd w:val="clear" w:color="auto" w:fill="CCEEFF"/>
          </w:tcPr>
          <w:p>
            <w:pPr>
              <w:spacing w:after="0"/>
              <w:rPr>
                <w:sz w:val="18"/>
                <w:szCs w:val="18"/>
                <w:color w:val="auto"/>
              </w:rPr>
            </w:pPr>
          </w:p>
        </w:tc>
        <w:tc>
          <w:tcPr>
            <w:tcW w:w="226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Realty IV</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195"/>
        </w:trPr>
        <w:tc>
          <w:tcPr>
            <w:tcW w:w="20" w:type="dxa"/>
            <w:vAlign w:val="bottom"/>
          </w:tcPr>
          <w:p>
            <w:pPr>
              <w:spacing w:after="0"/>
              <w:rPr>
                <w:sz w:val="16"/>
                <w:szCs w:val="16"/>
                <w:color w:val="auto"/>
              </w:rPr>
            </w:pPr>
          </w:p>
        </w:tc>
        <w:tc>
          <w:tcPr>
            <w:tcW w:w="226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Realty V</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1.7x</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1.6x</w:t>
            </w:r>
          </w:p>
        </w:tc>
      </w:tr>
      <w:tr>
        <w:trPr>
          <w:trHeight w:val="210"/>
        </w:trPr>
        <w:tc>
          <w:tcPr>
            <w:tcW w:w="20" w:type="dxa"/>
            <w:vAlign w:val="bottom"/>
            <w:shd w:val="clear" w:color="auto" w:fill="CCEEFF"/>
          </w:tcPr>
          <w:p>
            <w:pPr>
              <w:spacing w:after="0"/>
              <w:rPr>
                <w:sz w:val="18"/>
                <w:szCs w:val="18"/>
                <w:color w:val="auto"/>
              </w:rPr>
            </w:pPr>
          </w:p>
        </w:tc>
        <w:tc>
          <w:tcPr>
            <w:tcW w:w="226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Realty VI</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1.1x</w:t>
            </w:r>
          </w:p>
        </w:tc>
      </w:tr>
      <w:tr>
        <w:trPr>
          <w:trHeight w:val="195"/>
        </w:trPr>
        <w:tc>
          <w:tcPr>
            <w:tcW w:w="20" w:type="dxa"/>
            <w:vAlign w:val="bottom"/>
          </w:tcPr>
          <w:p>
            <w:pPr>
              <w:spacing w:after="0"/>
              <w:rPr>
                <w:sz w:val="16"/>
                <w:szCs w:val="16"/>
                <w:color w:val="auto"/>
              </w:rPr>
            </w:pPr>
          </w:p>
        </w:tc>
        <w:tc>
          <w:tcPr>
            <w:tcW w:w="226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Realty VII</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2,544</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1.7x</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210"/>
        </w:trPr>
        <w:tc>
          <w:tcPr>
            <w:tcW w:w="20" w:type="dxa"/>
            <w:vAlign w:val="bottom"/>
            <w:shd w:val="clear" w:color="auto" w:fill="CCEEFF"/>
          </w:tcPr>
          <w:p>
            <w:pPr>
              <w:spacing w:after="0"/>
              <w:rPr>
                <w:sz w:val="18"/>
                <w:szCs w:val="18"/>
                <w:color w:val="auto"/>
              </w:rPr>
            </w:pPr>
          </w:p>
        </w:tc>
        <w:tc>
          <w:tcPr>
            <w:tcW w:w="226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Realty VIII</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195"/>
        </w:trPr>
        <w:tc>
          <w:tcPr>
            <w:tcW w:w="20" w:type="dxa"/>
            <w:vAlign w:val="bottom"/>
          </w:tcPr>
          <w:p>
            <w:pPr>
              <w:spacing w:after="0"/>
              <w:rPr>
                <w:sz w:val="16"/>
                <w:szCs w:val="16"/>
                <w:color w:val="auto"/>
              </w:rPr>
            </w:pPr>
          </w:p>
        </w:tc>
        <w:tc>
          <w:tcPr>
            <w:tcW w:w="226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Realty IX</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2,510</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1.4x</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210"/>
        </w:trPr>
        <w:tc>
          <w:tcPr>
            <w:tcW w:w="20" w:type="dxa"/>
            <w:vAlign w:val="bottom"/>
            <w:shd w:val="clear" w:color="auto" w:fill="CCEEFF"/>
          </w:tcPr>
          <w:p>
            <w:pPr>
              <w:spacing w:after="0"/>
              <w:rPr>
                <w:sz w:val="18"/>
                <w:szCs w:val="18"/>
                <w:color w:val="auto"/>
              </w:rPr>
            </w:pPr>
          </w:p>
        </w:tc>
        <w:tc>
          <w:tcPr>
            <w:tcW w:w="226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Realty Value X</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195"/>
        </w:trPr>
        <w:tc>
          <w:tcPr>
            <w:tcW w:w="20" w:type="dxa"/>
            <w:vAlign w:val="bottom"/>
          </w:tcPr>
          <w:p>
            <w:pPr>
              <w:spacing w:after="0"/>
              <w:rPr>
                <w:sz w:val="16"/>
                <w:szCs w:val="16"/>
                <w:color w:val="auto"/>
              </w:rPr>
            </w:pPr>
          </w:p>
        </w:tc>
        <w:tc>
          <w:tcPr>
            <w:tcW w:w="226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Realty Value XI</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4,211</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1.3x</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210"/>
        </w:trPr>
        <w:tc>
          <w:tcPr>
            <w:tcW w:w="20" w:type="dxa"/>
            <w:vAlign w:val="bottom"/>
            <w:shd w:val="clear" w:color="auto" w:fill="CCEEFF"/>
          </w:tcPr>
          <w:p>
            <w:pPr>
              <w:spacing w:after="0"/>
              <w:rPr>
                <w:sz w:val="18"/>
                <w:szCs w:val="18"/>
                <w:color w:val="auto"/>
              </w:rPr>
            </w:pPr>
          </w:p>
        </w:tc>
        <w:tc>
          <w:tcPr>
            <w:tcW w:w="226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Realty Value XII</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NM</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90"/>
        </w:trPr>
        <w:tc>
          <w:tcPr>
            <w:tcW w:w="20" w:type="dxa"/>
            <w:vAlign w:val="bottom"/>
          </w:tcPr>
          <w:p>
            <w:pPr>
              <w:spacing w:after="0"/>
              <w:rPr>
                <w:sz w:val="16"/>
                <w:szCs w:val="16"/>
                <w:color w:val="auto"/>
              </w:rPr>
            </w:pPr>
          </w:p>
        </w:tc>
        <w:tc>
          <w:tcPr>
            <w:tcW w:w="2260" w:type="dxa"/>
            <w:vAlign w:val="bottom"/>
            <w:gridSpan w:val="8"/>
          </w:tcPr>
          <w:p>
            <w:pPr>
              <w:spacing w:after="0"/>
              <w:rPr>
                <w:sz w:val="20"/>
                <w:szCs w:val="20"/>
                <w:color w:val="auto"/>
              </w:rPr>
            </w:pPr>
            <w:r>
              <w:rPr>
                <w:rFonts w:ascii="Times New Roman" w:cs="Times New Roman" w:eastAsia="Times New Roman" w:hAnsi="Times New Roman"/>
                <w:sz w:val="14"/>
                <w:szCs w:val="14"/>
                <w:i w:val="1"/>
                <w:iCs w:val="1"/>
                <w:color w:val="auto"/>
              </w:rPr>
              <w:t>TPG AG Realty</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10,778</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15,394</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15,630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4,292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19,922</w:t>
            </w:r>
          </w:p>
        </w:tc>
        <w:tc>
          <w:tcPr>
            <w:tcW w:w="8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14%</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1.4x</w:t>
            </w:r>
          </w:p>
        </w:tc>
        <w:tc>
          <w:tcPr>
            <w:tcW w:w="8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9%</w:t>
            </w:r>
          </w:p>
        </w:tc>
        <w:tc>
          <w:tcPr>
            <w:tcW w:w="10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1.3x</w:t>
            </w: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auto"/>
            </w:tcBorders>
            <w:gridSpan w:val="6"/>
            <w:shd w:val="clear" w:color="auto" w:fill="CCEEFF"/>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TPG AG Core Plus Realty</w:t>
            </w:r>
          </w:p>
        </w:tc>
        <w:tc>
          <w:tcPr>
            <w:tcW w:w="740" w:type="dxa"/>
            <w:vAlign w:val="bottom"/>
            <w:tcBorders>
              <w:bottom w:val="single" w:sz="8" w:color="CCEEFF"/>
            </w:tcBorders>
            <w:gridSpan w:val="2"/>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226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Core Plus Realty I</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1.6x</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1.5x</w:t>
            </w:r>
          </w:p>
        </w:tc>
      </w:tr>
      <w:tr>
        <w:trPr>
          <w:trHeight w:val="210"/>
        </w:trPr>
        <w:tc>
          <w:tcPr>
            <w:tcW w:w="20" w:type="dxa"/>
            <w:vAlign w:val="bottom"/>
            <w:shd w:val="clear" w:color="auto" w:fill="CCEEFF"/>
          </w:tcPr>
          <w:p>
            <w:pPr>
              <w:spacing w:after="0"/>
              <w:rPr>
                <w:sz w:val="18"/>
                <w:szCs w:val="18"/>
                <w:color w:val="auto"/>
              </w:rPr>
            </w:pPr>
          </w:p>
        </w:tc>
        <w:tc>
          <w:tcPr>
            <w:tcW w:w="226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Core Plus Realty II</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195"/>
        </w:trPr>
        <w:tc>
          <w:tcPr>
            <w:tcW w:w="20" w:type="dxa"/>
            <w:vAlign w:val="bottom"/>
          </w:tcPr>
          <w:p>
            <w:pPr>
              <w:spacing w:after="0"/>
              <w:rPr>
                <w:sz w:val="16"/>
                <w:szCs w:val="16"/>
                <w:color w:val="auto"/>
              </w:rPr>
            </w:pPr>
          </w:p>
        </w:tc>
        <w:tc>
          <w:tcPr>
            <w:tcW w:w="226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Core Plus Realty III</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2,231</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1.8x</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1.6x</w:t>
            </w:r>
          </w:p>
        </w:tc>
      </w:tr>
      <w:tr>
        <w:trPr>
          <w:trHeight w:val="210"/>
        </w:trPr>
        <w:tc>
          <w:tcPr>
            <w:tcW w:w="20" w:type="dxa"/>
            <w:vAlign w:val="bottom"/>
            <w:shd w:val="clear" w:color="auto" w:fill="CCEEFF"/>
          </w:tcPr>
          <w:p>
            <w:pPr>
              <w:spacing w:after="0"/>
              <w:rPr>
                <w:sz w:val="18"/>
                <w:szCs w:val="18"/>
                <w:color w:val="auto"/>
              </w:rPr>
            </w:pPr>
          </w:p>
        </w:tc>
        <w:tc>
          <w:tcPr>
            <w:tcW w:w="226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Core Plus Realty IV</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1.1x</w:t>
            </w:r>
          </w:p>
        </w:tc>
      </w:tr>
      <w:tr>
        <w:trPr>
          <w:trHeight w:val="190"/>
        </w:trPr>
        <w:tc>
          <w:tcPr>
            <w:tcW w:w="20" w:type="dxa"/>
            <w:vAlign w:val="bottom"/>
          </w:tcPr>
          <w:p>
            <w:pPr>
              <w:spacing w:after="0"/>
              <w:rPr>
                <w:sz w:val="16"/>
                <w:szCs w:val="16"/>
                <w:color w:val="auto"/>
              </w:rPr>
            </w:pPr>
          </w:p>
        </w:tc>
        <w:tc>
          <w:tcPr>
            <w:tcW w:w="2260" w:type="dxa"/>
            <w:vAlign w:val="bottom"/>
            <w:gridSpan w:val="8"/>
          </w:tcPr>
          <w:p>
            <w:pPr>
              <w:spacing w:after="0"/>
              <w:rPr>
                <w:sz w:val="20"/>
                <w:szCs w:val="20"/>
                <w:color w:val="auto"/>
              </w:rPr>
            </w:pPr>
            <w:r>
              <w:rPr>
                <w:rFonts w:ascii="Times New Roman" w:cs="Times New Roman" w:eastAsia="Times New Roman" w:hAnsi="Times New Roman"/>
                <w:sz w:val="14"/>
                <w:szCs w:val="14"/>
                <w:i w:val="1"/>
                <w:iCs w:val="1"/>
                <w:color w:val="auto"/>
              </w:rPr>
              <w:t>TPG AG Core Plus Realty</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3,650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5,094</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6,659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214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6,873</w:t>
            </w:r>
          </w:p>
        </w:tc>
        <w:tc>
          <w:tcPr>
            <w:tcW w:w="8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1.5x</w:t>
            </w:r>
          </w:p>
        </w:tc>
        <w:tc>
          <w:tcPr>
            <w:tcW w:w="8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11%</w:t>
            </w:r>
          </w:p>
        </w:tc>
        <w:tc>
          <w:tcPr>
            <w:tcW w:w="10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1.4x</w:t>
            </w:r>
          </w:p>
        </w:tc>
      </w:tr>
      <w:tr>
        <w:trPr>
          <w:trHeight w:val="155"/>
        </w:trPr>
        <w:tc>
          <w:tcPr>
            <w:tcW w:w="20" w:type="dxa"/>
            <w:vAlign w:val="bottom"/>
            <w:shd w:val="clear" w:color="auto" w:fill="CCEEFF"/>
          </w:tcPr>
          <w:p>
            <w:pPr>
              <w:spacing w:after="0"/>
              <w:rPr>
                <w:sz w:val="13"/>
                <w:szCs w:val="13"/>
                <w:color w:val="auto"/>
              </w:rPr>
            </w:pPr>
          </w:p>
        </w:tc>
        <w:tc>
          <w:tcPr>
            <w:tcW w:w="2260" w:type="dxa"/>
            <w:vAlign w:val="bottom"/>
            <w:gridSpan w:val="8"/>
            <w:shd w:val="clear" w:color="auto" w:fill="CCEEFF"/>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Asia Realty</w:t>
            </w: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r>
      <w:tr>
        <w:trPr>
          <w:trHeight w:val="195"/>
        </w:trPr>
        <w:tc>
          <w:tcPr>
            <w:tcW w:w="20" w:type="dxa"/>
            <w:vAlign w:val="bottom"/>
          </w:tcPr>
          <w:p>
            <w:pPr>
              <w:spacing w:after="0"/>
              <w:rPr>
                <w:sz w:val="16"/>
                <w:szCs w:val="16"/>
                <w:color w:val="auto"/>
              </w:rPr>
            </w:pPr>
          </w:p>
        </w:tc>
        <w:tc>
          <w:tcPr>
            <w:tcW w:w="226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Asia Realty I</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1.3x</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210"/>
        </w:trPr>
        <w:tc>
          <w:tcPr>
            <w:tcW w:w="20" w:type="dxa"/>
            <w:vAlign w:val="bottom"/>
            <w:shd w:val="clear" w:color="auto" w:fill="CCEEFF"/>
          </w:tcPr>
          <w:p>
            <w:pPr>
              <w:spacing w:after="0"/>
              <w:rPr>
                <w:sz w:val="18"/>
                <w:szCs w:val="18"/>
                <w:color w:val="auto"/>
              </w:rPr>
            </w:pPr>
          </w:p>
        </w:tc>
        <w:tc>
          <w:tcPr>
            <w:tcW w:w="226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Asia Realty II</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1.6x</w:t>
            </w:r>
          </w:p>
        </w:tc>
      </w:tr>
      <w:tr>
        <w:trPr>
          <w:trHeight w:val="195"/>
        </w:trPr>
        <w:tc>
          <w:tcPr>
            <w:tcW w:w="20" w:type="dxa"/>
            <w:vAlign w:val="bottom"/>
          </w:tcPr>
          <w:p>
            <w:pPr>
              <w:spacing w:after="0"/>
              <w:rPr>
                <w:sz w:val="16"/>
                <w:szCs w:val="16"/>
                <w:color w:val="auto"/>
              </w:rPr>
            </w:pPr>
          </w:p>
        </w:tc>
        <w:tc>
          <w:tcPr>
            <w:tcW w:w="226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Asia Realty III</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1.4x</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210"/>
        </w:trPr>
        <w:tc>
          <w:tcPr>
            <w:tcW w:w="20" w:type="dxa"/>
            <w:vAlign w:val="bottom"/>
            <w:shd w:val="clear" w:color="auto" w:fill="CCEEFF"/>
          </w:tcPr>
          <w:p>
            <w:pPr>
              <w:spacing w:after="0"/>
              <w:rPr>
                <w:sz w:val="18"/>
                <w:szCs w:val="18"/>
                <w:color w:val="auto"/>
              </w:rPr>
            </w:pPr>
          </w:p>
        </w:tc>
        <w:tc>
          <w:tcPr>
            <w:tcW w:w="226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Asia Realty IV</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196"/>
        </w:trPr>
        <w:tc>
          <w:tcPr>
            <w:tcW w:w="20" w:type="dxa"/>
            <w:vAlign w:val="bottom"/>
          </w:tcPr>
          <w:p>
            <w:pPr>
              <w:spacing w:after="0"/>
              <w:rPr>
                <w:sz w:val="17"/>
                <w:szCs w:val="17"/>
                <w:color w:val="auto"/>
              </w:rPr>
            </w:pPr>
          </w:p>
        </w:tc>
        <w:tc>
          <w:tcPr>
            <w:tcW w:w="226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Asia Realty V</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1.4x</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Asia Realty</w:t>
            </w: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5,311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4,543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4,646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1,857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6,503</w:t>
            </w: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13%</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1.4x</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8%</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1.3x</w:t>
            </w:r>
          </w:p>
        </w:tc>
      </w:tr>
      <w:tr>
        <w:trPr>
          <w:trHeight w:val="149"/>
        </w:trPr>
        <w:tc>
          <w:tcPr>
            <w:tcW w:w="20" w:type="dxa"/>
            <w:vAlign w:val="bottom"/>
          </w:tcPr>
          <w:p>
            <w:pPr>
              <w:spacing w:after="0"/>
              <w:rPr>
                <w:sz w:val="12"/>
                <w:szCs w:val="12"/>
                <w:color w:val="auto"/>
              </w:rPr>
            </w:pPr>
          </w:p>
        </w:tc>
        <w:tc>
          <w:tcPr>
            <w:tcW w:w="226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Japan Value</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260" w:type="dxa"/>
            <w:vAlign w:val="bottom"/>
            <w:gridSpan w:val="8"/>
            <w:shd w:val="clear" w:color="auto" w:fill="CCEEFF"/>
          </w:tcPr>
          <w:p>
            <w:pPr>
              <w:ind w:left="120"/>
              <w:spacing w:after="0" w:line="202" w:lineRule="exact"/>
              <w:rPr>
                <w:sz w:val="20"/>
                <w:szCs w:val="20"/>
                <w:color w:val="auto"/>
              </w:rPr>
            </w:pPr>
            <w:r>
              <w:rPr>
                <w:rFonts w:ascii="Times New Roman" w:cs="Times New Roman" w:eastAsia="Times New Roman" w:hAnsi="Times New Roman"/>
                <w:sz w:val="14"/>
                <w:szCs w:val="14"/>
                <w:color w:val="auto"/>
              </w:rPr>
              <w:t>Japan Value</w:t>
            </w:r>
            <w:r>
              <w:rPr>
                <w:rFonts w:ascii="Times New Roman" w:cs="Times New Roman" w:eastAsia="Times New Roman" w:hAnsi="Times New Roman"/>
                <w:sz w:val="18"/>
                <w:szCs w:val="18"/>
                <w:color w:val="auto"/>
                <w:vertAlign w:val="superscript"/>
              </w:rPr>
              <w:t>(14)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203"/>
        </w:trPr>
        <w:tc>
          <w:tcPr>
            <w:tcW w:w="20" w:type="dxa"/>
            <w:vAlign w:val="bottom"/>
          </w:tcPr>
          <w:p>
            <w:pPr>
              <w:spacing w:after="0"/>
              <w:rPr>
                <w:sz w:val="17"/>
                <w:szCs w:val="17"/>
                <w:color w:val="auto"/>
              </w:rPr>
            </w:pPr>
          </w:p>
        </w:tc>
        <w:tc>
          <w:tcPr>
            <w:tcW w:w="2260" w:type="dxa"/>
            <w:vAlign w:val="bottom"/>
            <w:gridSpan w:val="8"/>
          </w:tcPr>
          <w:p>
            <w:pPr>
              <w:ind w:left="120"/>
              <w:spacing w:after="0" w:line="202" w:lineRule="exact"/>
              <w:rPr>
                <w:sz w:val="20"/>
                <w:szCs w:val="20"/>
                <w:color w:val="auto"/>
              </w:rPr>
            </w:pPr>
            <w:r>
              <w:rPr>
                <w:rFonts w:ascii="Times New Roman" w:cs="Times New Roman" w:eastAsia="Times New Roman" w:hAnsi="Times New Roman"/>
                <w:sz w:val="14"/>
                <w:szCs w:val="14"/>
                <w:color w:val="auto"/>
              </w:rPr>
              <w:t>Japan Value II</w:t>
            </w:r>
            <w:r>
              <w:rPr>
                <w:rFonts w:ascii="Times New Roman" w:cs="Times New Roman" w:eastAsia="Times New Roman" w:hAnsi="Times New Roman"/>
                <w:sz w:val="18"/>
                <w:szCs w:val="18"/>
                <w:color w:val="auto"/>
                <w:vertAlign w:val="superscript"/>
              </w:rPr>
              <w:t>(14)</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NM</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Japan Value</w:t>
            </w: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585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324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99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296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395</w:t>
            </w: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58%</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1.3x</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34%</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1.2x</w:t>
            </w:r>
          </w:p>
        </w:tc>
      </w:tr>
      <w:tr>
        <w:trPr>
          <w:trHeight w:val="148"/>
        </w:trPr>
        <w:tc>
          <w:tcPr>
            <w:tcW w:w="20" w:type="dxa"/>
            <w:vAlign w:val="bottom"/>
          </w:tcPr>
          <w:p>
            <w:pPr>
              <w:spacing w:after="0"/>
              <w:rPr>
                <w:sz w:val="12"/>
                <w:szCs w:val="12"/>
                <w:color w:val="auto"/>
              </w:rPr>
            </w:pPr>
          </w:p>
        </w:tc>
        <w:tc>
          <w:tcPr>
            <w:tcW w:w="226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TPG AG Europe Real Estate</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26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Europe Realty I</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1.7x</w:t>
            </w:r>
          </w:p>
        </w:tc>
      </w:tr>
      <w:tr>
        <w:trPr>
          <w:trHeight w:val="195"/>
        </w:trPr>
        <w:tc>
          <w:tcPr>
            <w:tcW w:w="20" w:type="dxa"/>
            <w:vAlign w:val="bottom"/>
          </w:tcPr>
          <w:p>
            <w:pPr>
              <w:spacing w:after="0"/>
              <w:rPr>
                <w:sz w:val="16"/>
                <w:szCs w:val="16"/>
                <w:color w:val="auto"/>
              </w:rPr>
            </w:pPr>
          </w:p>
        </w:tc>
        <w:tc>
          <w:tcPr>
            <w:tcW w:w="226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Europe Realty II</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2,249</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1.3x</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210"/>
        </w:trPr>
        <w:tc>
          <w:tcPr>
            <w:tcW w:w="20" w:type="dxa"/>
            <w:vAlign w:val="bottom"/>
            <w:shd w:val="clear" w:color="auto" w:fill="CCEEFF"/>
          </w:tcPr>
          <w:p>
            <w:pPr>
              <w:spacing w:after="0"/>
              <w:rPr>
                <w:sz w:val="18"/>
                <w:szCs w:val="18"/>
                <w:color w:val="auto"/>
              </w:rPr>
            </w:pPr>
          </w:p>
        </w:tc>
        <w:tc>
          <w:tcPr>
            <w:tcW w:w="226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Europe Realty III</w:t>
            </w:r>
            <w:r>
              <w:rPr>
                <w:rFonts w:ascii="Times New Roman" w:cs="Times New Roman" w:eastAsia="Times New Roman" w:hAnsi="Times New Roman"/>
                <w:sz w:val="18"/>
                <w:szCs w:val="18"/>
                <w:color w:val="auto"/>
                <w:vertAlign w:val="superscript"/>
              </w:rPr>
              <w:t>(15)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0.9x</w:t>
            </w:r>
          </w:p>
        </w:tc>
      </w:tr>
      <w:tr>
        <w:trPr>
          <w:trHeight w:val="203"/>
        </w:trPr>
        <w:tc>
          <w:tcPr>
            <w:tcW w:w="20" w:type="dxa"/>
            <w:vAlign w:val="bottom"/>
          </w:tcPr>
          <w:p>
            <w:pPr>
              <w:spacing w:after="0"/>
              <w:rPr>
                <w:sz w:val="17"/>
                <w:szCs w:val="17"/>
                <w:color w:val="auto"/>
              </w:rPr>
            </w:pPr>
          </w:p>
        </w:tc>
        <w:tc>
          <w:tcPr>
            <w:tcW w:w="2260" w:type="dxa"/>
            <w:vAlign w:val="bottom"/>
            <w:gridSpan w:val="8"/>
          </w:tcPr>
          <w:p>
            <w:pPr>
              <w:ind w:left="120"/>
              <w:spacing w:after="0" w:line="202" w:lineRule="exact"/>
              <w:rPr>
                <w:sz w:val="20"/>
                <w:szCs w:val="20"/>
                <w:color w:val="auto"/>
              </w:rPr>
            </w:pPr>
            <w:r>
              <w:rPr>
                <w:rFonts w:ascii="Times New Roman" w:cs="Times New Roman" w:eastAsia="Times New Roman" w:hAnsi="Times New Roman"/>
                <w:sz w:val="14"/>
                <w:szCs w:val="14"/>
                <w:color w:val="auto"/>
              </w:rPr>
              <w:t>Europe Realty IV</w:t>
            </w:r>
            <w:r>
              <w:rPr>
                <w:rFonts w:ascii="Times New Roman" w:cs="Times New Roman" w:eastAsia="Times New Roman" w:hAnsi="Times New Roman"/>
                <w:sz w:val="18"/>
                <w:szCs w:val="18"/>
                <w:color w:val="auto"/>
                <w:vertAlign w:val="superscript"/>
              </w:rPr>
              <w:t>(15)</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1.3x</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1.0x</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TPG AG Europe Real Estate</w:t>
            </w: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5,198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6,238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5,015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2,234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7,249</w:t>
            </w: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1.4x</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1.2x</w:t>
            </w:r>
          </w:p>
        </w:tc>
      </w:tr>
      <w:tr>
        <w:trPr>
          <w:trHeight w:val="148"/>
        </w:trPr>
        <w:tc>
          <w:tcPr>
            <w:tcW w:w="20" w:type="dxa"/>
            <w:vAlign w:val="bottom"/>
          </w:tcPr>
          <w:p>
            <w:pPr>
              <w:spacing w:after="0"/>
              <w:rPr>
                <w:sz w:val="12"/>
                <w:szCs w:val="12"/>
                <w:color w:val="auto"/>
              </w:rPr>
            </w:pPr>
          </w:p>
        </w:tc>
        <w:tc>
          <w:tcPr>
            <w:tcW w:w="226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TPG Net Lease</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26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Lease Realty I</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2.2x</w:t>
            </w:r>
          </w:p>
        </w:tc>
      </w:tr>
      <w:tr>
        <w:trPr>
          <w:trHeight w:val="195"/>
        </w:trPr>
        <w:tc>
          <w:tcPr>
            <w:tcW w:w="20" w:type="dxa"/>
            <w:vAlign w:val="bottom"/>
          </w:tcPr>
          <w:p>
            <w:pPr>
              <w:spacing w:after="0"/>
              <w:rPr>
                <w:sz w:val="16"/>
                <w:szCs w:val="16"/>
                <w:color w:val="auto"/>
              </w:rPr>
            </w:pPr>
          </w:p>
        </w:tc>
        <w:tc>
          <w:tcPr>
            <w:tcW w:w="226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Net Lease Realty II</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2.4x</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2.0x</w:t>
            </w:r>
          </w:p>
        </w:tc>
      </w:tr>
      <w:tr>
        <w:trPr>
          <w:trHeight w:val="210"/>
        </w:trPr>
        <w:tc>
          <w:tcPr>
            <w:tcW w:w="20" w:type="dxa"/>
            <w:vAlign w:val="bottom"/>
            <w:shd w:val="clear" w:color="auto" w:fill="CCEEFF"/>
          </w:tcPr>
          <w:p>
            <w:pPr>
              <w:spacing w:after="0"/>
              <w:rPr>
                <w:sz w:val="18"/>
                <w:szCs w:val="18"/>
                <w:color w:val="auto"/>
              </w:rPr>
            </w:pPr>
          </w:p>
        </w:tc>
        <w:tc>
          <w:tcPr>
            <w:tcW w:w="226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Lease Realty III</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1.6x</w:t>
            </w:r>
          </w:p>
        </w:tc>
      </w:tr>
      <w:tr>
        <w:trPr>
          <w:trHeight w:val="195"/>
        </w:trPr>
        <w:tc>
          <w:tcPr>
            <w:tcW w:w="20" w:type="dxa"/>
            <w:vAlign w:val="bottom"/>
          </w:tcPr>
          <w:p>
            <w:pPr>
              <w:spacing w:after="0"/>
              <w:rPr>
                <w:sz w:val="16"/>
                <w:szCs w:val="16"/>
                <w:color w:val="auto"/>
              </w:rPr>
            </w:pPr>
          </w:p>
        </w:tc>
        <w:tc>
          <w:tcPr>
            <w:tcW w:w="226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Net Lease Realty IV</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2,532</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1.5x</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210"/>
        </w:trPr>
        <w:tc>
          <w:tcPr>
            <w:tcW w:w="20" w:type="dxa"/>
            <w:vAlign w:val="bottom"/>
            <w:shd w:val="clear" w:color="auto" w:fill="CCEEFF"/>
          </w:tcPr>
          <w:p>
            <w:pPr>
              <w:spacing w:after="0"/>
              <w:rPr>
                <w:sz w:val="18"/>
                <w:szCs w:val="18"/>
                <w:color w:val="auto"/>
              </w:rPr>
            </w:pPr>
          </w:p>
        </w:tc>
        <w:tc>
          <w:tcPr>
            <w:tcW w:w="226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Lease Realty V</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NM</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90"/>
        </w:trPr>
        <w:tc>
          <w:tcPr>
            <w:tcW w:w="20" w:type="dxa"/>
            <w:vAlign w:val="bottom"/>
          </w:tcPr>
          <w:p>
            <w:pPr>
              <w:spacing w:after="0"/>
              <w:rPr>
                <w:sz w:val="16"/>
                <w:szCs w:val="16"/>
                <w:color w:val="auto"/>
              </w:rPr>
            </w:pPr>
          </w:p>
        </w:tc>
        <w:tc>
          <w:tcPr>
            <w:tcW w:w="2260" w:type="dxa"/>
            <w:vAlign w:val="bottom"/>
            <w:gridSpan w:val="8"/>
          </w:tcPr>
          <w:p>
            <w:pPr>
              <w:spacing w:after="0"/>
              <w:rPr>
                <w:sz w:val="20"/>
                <w:szCs w:val="20"/>
                <w:color w:val="auto"/>
              </w:rPr>
            </w:pPr>
            <w:r>
              <w:rPr>
                <w:rFonts w:ascii="Times New Roman" w:cs="Times New Roman" w:eastAsia="Times New Roman" w:hAnsi="Times New Roman"/>
                <w:sz w:val="14"/>
                <w:szCs w:val="14"/>
                <w:i w:val="1"/>
                <w:iCs w:val="1"/>
                <w:color w:val="auto"/>
              </w:rPr>
              <w:t>TPG Net Lease</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3,783</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6,408</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7,427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1,516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8,943</w:t>
            </w:r>
          </w:p>
        </w:tc>
        <w:tc>
          <w:tcPr>
            <w:tcW w:w="8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14%</w:t>
            </w:r>
          </w:p>
        </w:tc>
        <w:tc>
          <w:tcPr>
            <w:tcW w:w="10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1.9x</w:t>
            </w:r>
          </w:p>
        </w:tc>
        <w:tc>
          <w:tcPr>
            <w:tcW w:w="8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9%</w:t>
            </w:r>
          </w:p>
        </w:tc>
        <w:tc>
          <w:tcPr>
            <w:tcW w:w="10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1.6x</w:t>
            </w:r>
          </w:p>
        </w:tc>
      </w:tr>
      <w:tr>
        <w:trPr>
          <w:trHeight w:val="222"/>
        </w:trPr>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2260" w:type="dxa"/>
            <w:vAlign w:val="bottom"/>
            <w:gridSpan w:val="8"/>
          </w:tcPr>
          <w:p>
            <w:pPr>
              <w:ind w:left="120"/>
              <w:spacing w:after="0"/>
              <w:rPr>
                <w:sz w:val="20"/>
                <w:szCs w:val="20"/>
                <w:color w:val="auto"/>
              </w:rPr>
            </w:pPr>
            <w:r>
              <w:rPr>
                <w:rFonts w:ascii="Times New Roman" w:cs="Times New Roman" w:eastAsia="Times New Roman" w:hAnsi="Times New Roman"/>
                <w:sz w:val="14"/>
                <w:szCs w:val="14"/>
                <w:color w:val="auto"/>
              </w:rPr>
              <w:t>TAC+</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1.0x</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1.0x</w:t>
            </w:r>
          </w:p>
        </w:tc>
      </w:tr>
      <w:tr>
        <w:trPr>
          <w:trHeight w:val="210"/>
        </w:trPr>
        <w:tc>
          <w:tcPr>
            <w:tcW w:w="20" w:type="dxa"/>
            <w:vAlign w:val="bottom"/>
            <w:shd w:val="clear" w:color="auto" w:fill="CCEEFF"/>
          </w:tcPr>
          <w:p>
            <w:pPr>
              <w:spacing w:after="0"/>
              <w:rPr>
                <w:sz w:val="18"/>
                <w:szCs w:val="18"/>
                <w:color w:val="auto"/>
              </w:rPr>
            </w:pPr>
          </w:p>
        </w:tc>
        <w:tc>
          <w:tcPr>
            <w:tcW w:w="2260" w:type="dxa"/>
            <w:vAlign w:val="bottom"/>
            <w:gridSpan w:val="8"/>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TRECO</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1.1x</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gridSpan w:val="2"/>
          </w:tcPr>
          <w:p>
            <w:pPr>
              <w:jc w:val="center"/>
              <w:ind w:left="329"/>
              <w:spacing w:after="0"/>
              <w:rPr>
                <w:sz w:val="20"/>
                <w:szCs w:val="20"/>
                <w:color w:val="auto"/>
              </w:rPr>
            </w:pPr>
            <w:r>
              <w:rPr>
                <w:rFonts w:ascii="Times New Roman" w:cs="Times New Roman" w:eastAsia="Times New Roman" w:hAnsi="Times New Roman"/>
                <w:sz w:val="13"/>
                <w:szCs w:val="13"/>
                <w:b w:val="1"/>
                <w:bCs w:val="1"/>
                <w:color w:val="auto"/>
                <w:w w:val="96"/>
              </w:rPr>
              <w:t>Vintage</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Capital</w:t>
            </w:r>
          </w:p>
        </w:tc>
        <w:tc>
          <w:tcPr>
            <w:tcW w:w="100" w:type="dxa"/>
            <w:vAlign w:val="bottom"/>
          </w:tcPr>
          <w:p>
            <w:pPr>
              <w:spacing w:after="0"/>
              <w:rPr>
                <w:sz w:val="12"/>
                <w:szCs w:val="12"/>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Realized</w:t>
            </w:r>
          </w:p>
        </w:tc>
        <w:tc>
          <w:tcPr>
            <w:tcW w:w="120" w:type="dxa"/>
            <w:vAlign w:val="bottom"/>
          </w:tcPr>
          <w:p>
            <w:pPr>
              <w:spacing w:after="0"/>
              <w:rPr>
                <w:sz w:val="12"/>
                <w:szCs w:val="12"/>
                <w:color w:val="auto"/>
              </w:rPr>
            </w:pPr>
          </w:p>
        </w:tc>
        <w:tc>
          <w:tcPr>
            <w:tcW w:w="96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5"/>
              </w:rPr>
              <w:t>Unrealized</w:t>
            </w: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Gross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9"/>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Fund</w:t>
            </w:r>
          </w:p>
        </w:tc>
        <w:tc>
          <w:tcPr>
            <w:tcW w:w="1220" w:type="dxa"/>
            <w:vAlign w:val="bottom"/>
            <w:gridSpan w:val="2"/>
          </w:tcPr>
          <w:p>
            <w:pPr>
              <w:jc w:val="center"/>
              <w:ind w:left="329"/>
              <w:spacing w:after="0"/>
              <w:rPr>
                <w:sz w:val="20"/>
                <w:szCs w:val="20"/>
                <w:color w:val="auto"/>
              </w:rPr>
            </w:pPr>
            <w:r>
              <w:rPr>
                <w:rFonts w:ascii="Times New Roman" w:cs="Times New Roman" w:eastAsia="Times New Roman" w:hAnsi="Times New Roman"/>
                <w:sz w:val="13"/>
                <w:szCs w:val="13"/>
                <w:b w:val="1"/>
                <w:bCs w:val="1"/>
                <w:color w:val="auto"/>
                <w:w w:val="85"/>
              </w:rPr>
              <w:t>Year</w:t>
            </w:r>
            <w:r>
              <w:rPr>
                <w:rFonts w:ascii="Times New Roman" w:cs="Times New Roman" w:eastAsia="Times New Roman" w:hAnsi="Times New Roman"/>
                <w:sz w:val="16"/>
                <w:szCs w:val="16"/>
                <w:b w:val="1"/>
                <w:bCs w:val="1"/>
                <w:color w:val="auto"/>
                <w:w w:val="85"/>
                <w:vertAlign w:val="superscript"/>
              </w:rPr>
              <w:t>(1)</w:t>
            </w:r>
          </w:p>
        </w:tc>
        <w:tc>
          <w:tcPr>
            <w:tcW w:w="12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2"/>
              </w:rPr>
              <w:t>Committed</w:t>
            </w:r>
            <w:r>
              <w:rPr>
                <w:rFonts w:ascii="Times New Roman" w:cs="Times New Roman" w:eastAsia="Times New Roman" w:hAnsi="Times New Roman"/>
                <w:sz w:val="16"/>
                <w:szCs w:val="16"/>
                <w:b w:val="1"/>
                <w:bCs w:val="1"/>
                <w:color w:val="auto"/>
                <w:w w:val="92"/>
                <w:vertAlign w:val="superscript"/>
              </w:rPr>
              <w:t>(2)</w:t>
            </w: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0"/>
              </w:rPr>
              <w:t>Invested</w:t>
            </w:r>
            <w:r>
              <w:rPr>
                <w:rFonts w:ascii="Times New Roman" w:cs="Times New Roman" w:eastAsia="Times New Roman" w:hAnsi="Times New Roman"/>
                <w:sz w:val="16"/>
                <w:szCs w:val="16"/>
                <w:b w:val="1"/>
                <w:bCs w:val="1"/>
                <w:color w:val="auto"/>
                <w:w w:val="90"/>
                <w:vertAlign w:val="superscript"/>
              </w:rPr>
              <w:t>(3)</w:t>
            </w:r>
          </w:p>
        </w:tc>
        <w:tc>
          <w:tcPr>
            <w:tcW w:w="100" w:type="dxa"/>
            <w:vAlign w:val="bottom"/>
          </w:tcPr>
          <w:p>
            <w:pPr>
              <w:spacing w:after="0"/>
              <w:rPr>
                <w:sz w:val="16"/>
                <w:szCs w:val="16"/>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(4)</w:t>
            </w:r>
          </w:p>
        </w:tc>
        <w:tc>
          <w:tcPr>
            <w:tcW w:w="120" w:type="dxa"/>
            <w:vAlign w:val="bottom"/>
          </w:tcPr>
          <w:p>
            <w:pPr>
              <w:spacing w:after="0"/>
              <w:rPr>
                <w:sz w:val="16"/>
                <w:szCs w:val="16"/>
                <w:color w:val="auto"/>
              </w:rPr>
            </w:pPr>
          </w:p>
        </w:tc>
        <w:tc>
          <w:tcPr>
            <w:tcW w:w="96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(5)</w:t>
            </w: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88"/>
              </w:rPr>
              <w:t>Value</w:t>
            </w:r>
            <w:r>
              <w:rPr>
                <w:rFonts w:ascii="Times New Roman" w:cs="Times New Roman" w:eastAsia="Times New Roman" w:hAnsi="Times New Roman"/>
                <w:sz w:val="16"/>
                <w:szCs w:val="16"/>
                <w:b w:val="1"/>
                <w:bCs w:val="1"/>
                <w:color w:val="auto"/>
                <w:w w:val="88"/>
                <w:vertAlign w:val="superscript"/>
              </w:rPr>
              <w:t>(6)</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Gross IRR</w:t>
            </w:r>
            <w:r>
              <w:rPr>
                <w:rFonts w:ascii="Times New Roman" w:cs="Times New Roman" w:eastAsia="Times New Roman" w:hAnsi="Times New Roman"/>
                <w:sz w:val="16"/>
                <w:szCs w:val="16"/>
                <w:b w:val="1"/>
                <w:bCs w:val="1"/>
                <w:color w:val="auto"/>
                <w:vertAlign w:val="superscript"/>
              </w:rPr>
              <w:t>(7)</w:t>
            </w:r>
          </w:p>
        </w:tc>
        <w:tc>
          <w:tcPr>
            <w:tcW w:w="74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21"/>
                <w:szCs w:val="21"/>
                <w:b w:val="1"/>
                <w:bCs w:val="1"/>
                <w:color w:val="auto"/>
                <w:w w:val="88"/>
                <w:vertAlign w:val="subscript"/>
              </w:rPr>
              <w:t>MoM</w:t>
            </w:r>
            <w:r>
              <w:rPr>
                <w:rFonts w:ascii="Times New Roman" w:cs="Times New Roman" w:eastAsia="Times New Roman" w:hAnsi="Times New Roman"/>
                <w:sz w:val="8"/>
                <w:szCs w:val="8"/>
                <w:b w:val="1"/>
                <w:bCs w:val="1"/>
                <w:color w:val="auto"/>
                <w:w w:val="88"/>
              </w:rPr>
              <w:t>(7)</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Net IRR</w:t>
            </w:r>
            <w:r>
              <w:rPr>
                <w:rFonts w:ascii="Times New Roman" w:cs="Times New Roman" w:eastAsia="Times New Roman" w:hAnsi="Times New Roman"/>
                <w:sz w:val="16"/>
                <w:szCs w:val="16"/>
                <w:b w:val="1"/>
                <w:bCs w:val="1"/>
                <w:color w:val="auto"/>
                <w:vertAlign w:val="superscript"/>
              </w:rPr>
              <w:t>(8)</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Net MoM</w:t>
            </w:r>
            <w:r>
              <w:rPr>
                <w:rFonts w:ascii="Times New Roman" w:cs="Times New Roman" w:eastAsia="Times New Roman" w:hAnsi="Times New Roman"/>
                <w:sz w:val="16"/>
                <w:szCs w:val="16"/>
                <w:b w:val="1"/>
                <w:bCs w:val="1"/>
                <w:color w:val="auto"/>
                <w:w w:val="93"/>
                <w:vertAlign w:val="superscript"/>
              </w:rPr>
              <w:t>(9)</w:t>
            </w:r>
          </w:p>
        </w:tc>
      </w:tr>
      <w:tr>
        <w:trPr>
          <w:trHeight w:val="34"/>
        </w:trPr>
        <w:tc>
          <w:tcPr>
            <w:tcW w:w="2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230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Platform: Market Solutions</w:t>
            </w: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48"/>
        </w:trPr>
        <w:tc>
          <w:tcPr>
            <w:tcW w:w="20" w:type="dxa"/>
            <w:vAlign w:val="bottom"/>
            <w:tcBorders>
              <w:top w:val="single" w:sz="8" w:color="CCEEFF"/>
            </w:tcBorders>
          </w:tcPr>
          <w:p>
            <w:pPr>
              <w:spacing w:after="0"/>
              <w:rPr>
                <w:sz w:val="12"/>
                <w:szCs w:val="12"/>
                <w:color w:val="auto"/>
              </w:rPr>
            </w:pPr>
          </w:p>
        </w:tc>
        <w:tc>
          <w:tcPr>
            <w:tcW w:w="1700" w:type="dxa"/>
            <w:vAlign w:val="bottom"/>
            <w:tcBorders>
              <w:top w:val="single" w:sz="8" w:color="auto"/>
            </w:tcBorders>
            <w:gridSpan w:val="4"/>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TPG Peppertree Funds</w:t>
            </w:r>
          </w:p>
        </w:tc>
        <w:tc>
          <w:tcPr>
            <w:tcW w:w="600" w:type="dxa"/>
            <w:vAlign w:val="bottom"/>
            <w:tcBorders>
              <w:top w:val="single" w:sz="8" w:color="CCEEFF"/>
            </w:tcBorders>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r>
      <w:tr>
        <w:trPr>
          <w:trHeight w:val="34"/>
        </w:trPr>
        <w:tc>
          <w:tcPr>
            <w:tcW w:w="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230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Peppertree I</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2.1x</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1.7x</w:t>
            </w:r>
          </w:p>
        </w:tc>
      </w:tr>
      <w:tr>
        <w:trPr>
          <w:trHeight w:val="195"/>
        </w:trPr>
        <w:tc>
          <w:tcPr>
            <w:tcW w:w="20" w:type="dxa"/>
            <w:vAlign w:val="bottom"/>
          </w:tcPr>
          <w:p>
            <w:pPr>
              <w:spacing w:after="0"/>
              <w:rPr>
                <w:sz w:val="16"/>
                <w:szCs w:val="16"/>
                <w:color w:val="auto"/>
              </w:rPr>
            </w:pPr>
          </w:p>
        </w:tc>
        <w:tc>
          <w:tcPr>
            <w:tcW w:w="230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Peppertree II</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2.8x</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2.1x</w:t>
            </w:r>
          </w:p>
        </w:tc>
      </w:tr>
      <w:tr>
        <w:trPr>
          <w:trHeight w:val="210"/>
        </w:trPr>
        <w:tc>
          <w:tcPr>
            <w:tcW w:w="20" w:type="dxa"/>
            <w:vAlign w:val="bottom"/>
            <w:shd w:val="clear" w:color="auto" w:fill="CCEEFF"/>
          </w:tcPr>
          <w:p>
            <w:pPr>
              <w:spacing w:after="0"/>
              <w:rPr>
                <w:sz w:val="18"/>
                <w:szCs w:val="18"/>
                <w:color w:val="auto"/>
              </w:rPr>
            </w:pPr>
          </w:p>
        </w:tc>
        <w:tc>
          <w:tcPr>
            <w:tcW w:w="230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Peppertree III</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2.2x</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1.8x</w:t>
            </w:r>
          </w:p>
        </w:tc>
      </w:tr>
      <w:tr>
        <w:trPr>
          <w:trHeight w:val="195"/>
        </w:trPr>
        <w:tc>
          <w:tcPr>
            <w:tcW w:w="20" w:type="dxa"/>
            <w:vAlign w:val="bottom"/>
          </w:tcPr>
          <w:p>
            <w:pPr>
              <w:spacing w:after="0"/>
              <w:rPr>
                <w:sz w:val="16"/>
                <w:szCs w:val="16"/>
                <w:color w:val="auto"/>
              </w:rPr>
            </w:pPr>
          </w:p>
        </w:tc>
        <w:tc>
          <w:tcPr>
            <w:tcW w:w="230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Peppertree IV</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2.1x</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1.7x</w:t>
            </w:r>
          </w:p>
        </w:tc>
      </w:tr>
      <w:tr>
        <w:trPr>
          <w:trHeight w:val="210"/>
        </w:trPr>
        <w:tc>
          <w:tcPr>
            <w:tcW w:w="20" w:type="dxa"/>
            <w:vAlign w:val="bottom"/>
            <w:shd w:val="clear" w:color="auto" w:fill="CCEEFF"/>
          </w:tcPr>
          <w:p>
            <w:pPr>
              <w:spacing w:after="0"/>
              <w:rPr>
                <w:sz w:val="18"/>
                <w:szCs w:val="18"/>
                <w:color w:val="auto"/>
              </w:rPr>
            </w:pPr>
          </w:p>
        </w:tc>
        <w:tc>
          <w:tcPr>
            <w:tcW w:w="230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Peppertree V</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1.6x</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1.2x</w:t>
            </w:r>
          </w:p>
        </w:tc>
      </w:tr>
      <w:tr>
        <w:trPr>
          <w:trHeight w:val="195"/>
        </w:trPr>
        <w:tc>
          <w:tcPr>
            <w:tcW w:w="20" w:type="dxa"/>
            <w:vAlign w:val="bottom"/>
          </w:tcPr>
          <w:p>
            <w:pPr>
              <w:spacing w:after="0"/>
              <w:rPr>
                <w:sz w:val="16"/>
                <w:szCs w:val="16"/>
                <w:color w:val="auto"/>
              </w:rPr>
            </w:pPr>
          </w:p>
        </w:tc>
        <w:tc>
          <w:tcPr>
            <w:tcW w:w="230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Peppertree VI</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2.9x</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2.2x</w:t>
            </w:r>
          </w:p>
        </w:tc>
      </w:tr>
      <w:tr>
        <w:trPr>
          <w:trHeight w:val="210"/>
        </w:trPr>
        <w:tc>
          <w:tcPr>
            <w:tcW w:w="20" w:type="dxa"/>
            <w:vAlign w:val="bottom"/>
            <w:shd w:val="clear" w:color="auto" w:fill="CCEEFF"/>
          </w:tcPr>
          <w:p>
            <w:pPr>
              <w:spacing w:after="0"/>
              <w:rPr>
                <w:sz w:val="18"/>
                <w:szCs w:val="18"/>
                <w:color w:val="auto"/>
              </w:rPr>
            </w:pPr>
          </w:p>
        </w:tc>
        <w:tc>
          <w:tcPr>
            <w:tcW w:w="230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Peppertree VII</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2.7x</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2.1x</w:t>
            </w:r>
          </w:p>
        </w:tc>
      </w:tr>
      <w:tr>
        <w:trPr>
          <w:trHeight w:val="195"/>
        </w:trPr>
        <w:tc>
          <w:tcPr>
            <w:tcW w:w="20" w:type="dxa"/>
            <w:vAlign w:val="bottom"/>
          </w:tcPr>
          <w:p>
            <w:pPr>
              <w:spacing w:after="0"/>
              <w:rPr>
                <w:sz w:val="16"/>
                <w:szCs w:val="16"/>
                <w:color w:val="auto"/>
              </w:rPr>
            </w:pPr>
          </w:p>
        </w:tc>
        <w:tc>
          <w:tcPr>
            <w:tcW w:w="230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Peppertree VIII</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2.0x</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1.6x</w:t>
            </w:r>
          </w:p>
        </w:tc>
      </w:tr>
      <w:tr>
        <w:trPr>
          <w:trHeight w:val="210"/>
        </w:trPr>
        <w:tc>
          <w:tcPr>
            <w:tcW w:w="20" w:type="dxa"/>
            <w:vAlign w:val="bottom"/>
            <w:shd w:val="clear" w:color="auto" w:fill="CCEEFF"/>
          </w:tcPr>
          <w:p>
            <w:pPr>
              <w:spacing w:after="0"/>
              <w:rPr>
                <w:sz w:val="18"/>
                <w:szCs w:val="18"/>
                <w:color w:val="auto"/>
              </w:rPr>
            </w:pPr>
          </w:p>
        </w:tc>
        <w:tc>
          <w:tcPr>
            <w:tcW w:w="230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Peppertree IX</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1.5x</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195"/>
        </w:trPr>
        <w:tc>
          <w:tcPr>
            <w:tcW w:w="20" w:type="dxa"/>
            <w:vAlign w:val="bottom"/>
          </w:tcPr>
          <w:p>
            <w:pPr>
              <w:spacing w:after="0"/>
              <w:rPr>
                <w:sz w:val="16"/>
                <w:szCs w:val="16"/>
                <w:color w:val="auto"/>
              </w:rPr>
            </w:pPr>
          </w:p>
        </w:tc>
        <w:tc>
          <w:tcPr>
            <w:tcW w:w="230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Peppertree X</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1.3x</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1.1x</w:t>
            </w:r>
          </w:p>
        </w:tc>
      </w:tr>
      <w:tr>
        <w:trPr>
          <w:trHeight w:val="210"/>
        </w:trPr>
        <w:tc>
          <w:tcPr>
            <w:tcW w:w="20" w:type="dxa"/>
            <w:vAlign w:val="bottom"/>
            <w:shd w:val="clear" w:color="auto" w:fill="CCEEFF"/>
          </w:tcPr>
          <w:p>
            <w:pPr>
              <w:spacing w:after="0"/>
              <w:rPr>
                <w:sz w:val="18"/>
                <w:szCs w:val="18"/>
                <w:color w:val="auto"/>
              </w:rPr>
            </w:pPr>
          </w:p>
        </w:tc>
        <w:tc>
          <w:tcPr>
            <w:tcW w:w="230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Peppertree XI</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NM</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90"/>
        </w:trPr>
        <w:tc>
          <w:tcPr>
            <w:tcW w:w="20" w:type="dxa"/>
            <w:vAlign w:val="bottom"/>
          </w:tcPr>
          <w:p>
            <w:pPr>
              <w:spacing w:after="0"/>
              <w:rPr>
                <w:sz w:val="16"/>
                <w:szCs w:val="16"/>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4"/>
                <w:szCs w:val="14"/>
                <w:i w:val="1"/>
                <w:iCs w:val="1"/>
                <w:color w:val="auto"/>
              </w:rPr>
              <w:t>TPG Peppertree Funds</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7,571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4,621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924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7,152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8,076</w:t>
            </w:r>
          </w:p>
        </w:tc>
        <w:tc>
          <w:tcPr>
            <w:tcW w:w="8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14%</w:t>
            </w:r>
          </w:p>
        </w:tc>
        <w:tc>
          <w:tcPr>
            <w:tcW w:w="8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1.7x</w:t>
            </w:r>
          </w:p>
        </w:tc>
        <w:tc>
          <w:tcPr>
            <w:tcW w:w="8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10%</w:t>
            </w:r>
          </w:p>
        </w:tc>
        <w:tc>
          <w:tcPr>
            <w:tcW w:w="10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1.5x</w:t>
            </w: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TPG GP Solutions</w:t>
            </w:r>
          </w:p>
        </w:tc>
        <w:tc>
          <w:tcPr>
            <w:tcW w:w="1220" w:type="dxa"/>
            <w:vAlign w:val="bottom"/>
            <w:tcBorders>
              <w:bottom w:val="single" w:sz="8" w:color="CCEEFF"/>
            </w:tcBorders>
            <w:gridSpan w:val="3"/>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2300" w:type="dxa"/>
            <w:vAlign w:val="bottom"/>
            <w:gridSpan w:val="5"/>
          </w:tcPr>
          <w:p>
            <w:pPr>
              <w:ind w:left="120"/>
              <w:spacing w:after="0" w:line="202" w:lineRule="exact"/>
              <w:rPr>
                <w:sz w:val="20"/>
                <w:szCs w:val="20"/>
                <w:color w:val="auto"/>
              </w:rPr>
            </w:pPr>
            <w:r>
              <w:rPr>
                <w:rFonts w:ascii="Times New Roman" w:cs="Times New Roman" w:eastAsia="Times New Roman" w:hAnsi="Times New Roman"/>
                <w:sz w:val="14"/>
                <w:szCs w:val="14"/>
                <w:color w:val="auto"/>
              </w:rPr>
              <w:t>TGS I</w:t>
            </w:r>
            <w:r>
              <w:rPr>
                <w:rFonts w:ascii="Times New Roman" w:cs="Times New Roman" w:eastAsia="Times New Roman" w:hAnsi="Times New Roman"/>
                <w:sz w:val="18"/>
                <w:szCs w:val="18"/>
                <w:color w:val="auto"/>
                <w:vertAlign w:val="superscript"/>
              </w:rPr>
              <w:t>(12)</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2,191</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1.5x</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203"/>
        </w:trPr>
        <w:tc>
          <w:tcPr>
            <w:tcW w:w="20" w:type="dxa"/>
            <w:vAlign w:val="bottom"/>
            <w:shd w:val="clear" w:color="auto" w:fill="CCEEFF"/>
          </w:tcPr>
          <w:p>
            <w:pPr>
              <w:spacing w:after="0"/>
              <w:rPr>
                <w:sz w:val="17"/>
                <w:szCs w:val="17"/>
                <w:color w:val="auto"/>
              </w:rPr>
            </w:pPr>
          </w:p>
        </w:tc>
        <w:tc>
          <w:tcPr>
            <w:tcW w:w="2300" w:type="dxa"/>
            <w:vAlign w:val="bottom"/>
            <w:gridSpan w:val="5"/>
            <w:shd w:val="clear" w:color="auto" w:fill="CCEEFF"/>
          </w:tcPr>
          <w:p>
            <w:pPr>
              <w:ind w:left="120"/>
              <w:spacing w:after="0" w:line="202" w:lineRule="exact"/>
              <w:rPr>
                <w:sz w:val="20"/>
                <w:szCs w:val="20"/>
                <w:color w:val="auto"/>
              </w:rPr>
            </w:pPr>
            <w:r>
              <w:rPr>
                <w:rFonts w:ascii="Times New Roman" w:cs="Times New Roman" w:eastAsia="Times New Roman" w:hAnsi="Times New Roman"/>
                <w:sz w:val="14"/>
                <w:szCs w:val="14"/>
                <w:color w:val="auto"/>
              </w:rPr>
              <w:t>TGS II</w:t>
            </w:r>
            <w:r>
              <w:rPr>
                <w:rFonts w:ascii="Times New Roman" w:cs="Times New Roman" w:eastAsia="Times New Roman" w:hAnsi="Times New Roman"/>
                <w:sz w:val="18"/>
                <w:szCs w:val="18"/>
                <w:color w:val="auto"/>
                <w:vertAlign w:val="superscript"/>
              </w:rPr>
              <w:t>(12)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NM</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NM</w:t>
            </w: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NM</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190"/>
        </w:trPr>
        <w:tc>
          <w:tcPr>
            <w:tcW w:w="20" w:type="dxa"/>
            <w:vAlign w:val="bottom"/>
          </w:tcPr>
          <w:p>
            <w:pPr>
              <w:spacing w:after="0"/>
              <w:rPr>
                <w:sz w:val="16"/>
                <w:szCs w:val="16"/>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4"/>
                <w:szCs w:val="14"/>
                <w:i w:val="1"/>
                <w:iCs w:val="1"/>
                <w:color w:val="auto"/>
              </w:rPr>
              <w:t>TPG GP Solutions</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4,076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2,036</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222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2,459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2,681</w:t>
            </w:r>
          </w:p>
        </w:tc>
        <w:tc>
          <w:tcPr>
            <w:tcW w:w="8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49%</w:t>
            </w:r>
          </w:p>
        </w:tc>
        <w:tc>
          <w:tcPr>
            <w:tcW w:w="8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1.5x</w:t>
            </w:r>
          </w:p>
        </w:tc>
        <w:tc>
          <w:tcPr>
            <w:tcW w:w="8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36%</w:t>
            </w:r>
          </w:p>
        </w:tc>
        <w:tc>
          <w:tcPr>
            <w:tcW w:w="10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1.3x</w:t>
            </w: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NewQuest Funds</w:t>
            </w:r>
          </w:p>
        </w:tc>
        <w:tc>
          <w:tcPr>
            <w:tcW w:w="1300" w:type="dxa"/>
            <w:vAlign w:val="bottom"/>
            <w:tcBorders>
              <w:bottom w:val="single" w:sz="8" w:color="CCEEFF"/>
            </w:tcBorders>
            <w:gridSpan w:val="4"/>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2300" w:type="dxa"/>
            <w:vAlign w:val="bottom"/>
            <w:gridSpan w:val="5"/>
          </w:tcPr>
          <w:p>
            <w:pPr>
              <w:ind w:left="120"/>
              <w:spacing w:after="0" w:line="202" w:lineRule="exact"/>
              <w:rPr>
                <w:sz w:val="20"/>
                <w:szCs w:val="20"/>
                <w:color w:val="auto"/>
              </w:rPr>
            </w:pPr>
            <w:r>
              <w:rPr>
                <w:rFonts w:ascii="Times New Roman" w:cs="Times New Roman" w:eastAsia="Times New Roman" w:hAnsi="Times New Roman"/>
                <w:sz w:val="14"/>
                <w:szCs w:val="14"/>
                <w:color w:val="auto"/>
              </w:rPr>
              <w:t>NewQuest I</w:t>
            </w:r>
            <w:r>
              <w:rPr>
                <w:rFonts w:ascii="Times New Roman" w:cs="Times New Roman" w:eastAsia="Times New Roman" w:hAnsi="Times New Roman"/>
                <w:sz w:val="18"/>
                <w:szCs w:val="18"/>
                <w:color w:val="auto"/>
                <w:vertAlign w:val="superscript"/>
              </w:rPr>
              <w:t>(12)</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3.2x</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2.3x</w:t>
            </w:r>
          </w:p>
        </w:tc>
      </w:tr>
      <w:tr>
        <w:trPr>
          <w:trHeight w:val="203"/>
        </w:trPr>
        <w:tc>
          <w:tcPr>
            <w:tcW w:w="20" w:type="dxa"/>
            <w:vAlign w:val="bottom"/>
            <w:shd w:val="clear" w:color="auto" w:fill="CCEEFF"/>
          </w:tcPr>
          <w:p>
            <w:pPr>
              <w:spacing w:after="0"/>
              <w:rPr>
                <w:sz w:val="17"/>
                <w:szCs w:val="17"/>
                <w:color w:val="auto"/>
              </w:rPr>
            </w:pPr>
          </w:p>
        </w:tc>
        <w:tc>
          <w:tcPr>
            <w:tcW w:w="2300" w:type="dxa"/>
            <w:vAlign w:val="bottom"/>
            <w:gridSpan w:val="5"/>
            <w:shd w:val="clear" w:color="auto" w:fill="CCEEFF"/>
          </w:tcPr>
          <w:p>
            <w:pPr>
              <w:ind w:left="120"/>
              <w:spacing w:after="0" w:line="202" w:lineRule="exact"/>
              <w:rPr>
                <w:sz w:val="20"/>
                <w:szCs w:val="20"/>
                <w:color w:val="auto"/>
              </w:rPr>
            </w:pPr>
            <w:r>
              <w:rPr>
                <w:rFonts w:ascii="Times New Roman" w:cs="Times New Roman" w:eastAsia="Times New Roman" w:hAnsi="Times New Roman"/>
                <w:sz w:val="14"/>
                <w:szCs w:val="14"/>
                <w:color w:val="auto"/>
              </w:rPr>
              <w:t>NewQuest II</w:t>
            </w:r>
            <w:r>
              <w:rPr>
                <w:rFonts w:ascii="Times New Roman" w:cs="Times New Roman" w:eastAsia="Times New Roman" w:hAnsi="Times New Roman"/>
                <w:sz w:val="18"/>
                <w:szCs w:val="18"/>
                <w:color w:val="auto"/>
                <w:vertAlign w:val="superscript"/>
              </w:rPr>
              <w:t>(12)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2.2x</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1.8x</w:t>
            </w:r>
          </w:p>
        </w:tc>
      </w:tr>
      <w:tr>
        <w:trPr>
          <w:trHeight w:val="203"/>
        </w:trPr>
        <w:tc>
          <w:tcPr>
            <w:tcW w:w="20" w:type="dxa"/>
            <w:vAlign w:val="bottom"/>
          </w:tcPr>
          <w:p>
            <w:pPr>
              <w:spacing w:after="0"/>
              <w:rPr>
                <w:sz w:val="17"/>
                <w:szCs w:val="17"/>
                <w:color w:val="auto"/>
              </w:rPr>
            </w:pPr>
          </w:p>
        </w:tc>
        <w:tc>
          <w:tcPr>
            <w:tcW w:w="2300" w:type="dxa"/>
            <w:vAlign w:val="bottom"/>
            <w:gridSpan w:val="5"/>
          </w:tcPr>
          <w:p>
            <w:pPr>
              <w:ind w:left="120"/>
              <w:spacing w:after="0" w:line="202" w:lineRule="exact"/>
              <w:rPr>
                <w:sz w:val="20"/>
                <w:szCs w:val="20"/>
                <w:color w:val="auto"/>
              </w:rPr>
            </w:pPr>
            <w:r>
              <w:rPr>
                <w:rFonts w:ascii="Times New Roman" w:cs="Times New Roman" w:eastAsia="Times New Roman" w:hAnsi="Times New Roman"/>
                <w:sz w:val="14"/>
                <w:szCs w:val="14"/>
                <w:color w:val="auto"/>
              </w:rPr>
              <w:t>NewQuest III</w:t>
            </w:r>
            <w:r>
              <w:rPr>
                <w:rFonts w:ascii="Times New Roman" w:cs="Times New Roman" w:eastAsia="Times New Roman" w:hAnsi="Times New Roman"/>
                <w:sz w:val="18"/>
                <w:szCs w:val="18"/>
                <w:color w:val="auto"/>
                <w:vertAlign w:val="superscript"/>
              </w:rPr>
              <w:t>(12)</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1.3x</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1.1x</w:t>
            </w:r>
          </w:p>
        </w:tc>
      </w:tr>
      <w:tr>
        <w:trPr>
          <w:trHeight w:val="203"/>
        </w:trPr>
        <w:tc>
          <w:tcPr>
            <w:tcW w:w="20" w:type="dxa"/>
            <w:vAlign w:val="bottom"/>
            <w:shd w:val="clear" w:color="auto" w:fill="CCEEFF"/>
          </w:tcPr>
          <w:p>
            <w:pPr>
              <w:spacing w:after="0"/>
              <w:rPr>
                <w:sz w:val="17"/>
                <w:szCs w:val="17"/>
                <w:color w:val="auto"/>
              </w:rPr>
            </w:pPr>
          </w:p>
        </w:tc>
        <w:tc>
          <w:tcPr>
            <w:tcW w:w="2300" w:type="dxa"/>
            <w:vAlign w:val="bottom"/>
            <w:gridSpan w:val="5"/>
            <w:shd w:val="clear" w:color="auto" w:fill="CCEEFF"/>
          </w:tcPr>
          <w:p>
            <w:pPr>
              <w:ind w:left="120"/>
              <w:spacing w:after="0" w:line="202" w:lineRule="exact"/>
              <w:rPr>
                <w:sz w:val="20"/>
                <w:szCs w:val="20"/>
                <w:color w:val="auto"/>
              </w:rPr>
            </w:pPr>
            <w:r>
              <w:rPr>
                <w:rFonts w:ascii="Times New Roman" w:cs="Times New Roman" w:eastAsia="Times New Roman" w:hAnsi="Times New Roman"/>
                <w:sz w:val="14"/>
                <w:szCs w:val="14"/>
                <w:color w:val="auto"/>
              </w:rPr>
              <w:t>NewQuest IV</w:t>
            </w:r>
            <w:r>
              <w:rPr>
                <w:rFonts w:ascii="Times New Roman" w:cs="Times New Roman" w:eastAsia="Times New Roman" w:hAnsi="Times New Roman"/>
                <w:sz w:val="18"/>
                <w:szCs w:val="18"/>
                <w:color w:val="auto"/>
                <w:vertAlign w:val="superscript"/>
              </w:rPr>
              <w:t>(12)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1.8x</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1.4x</w:t>
            </w:r>
          </w:p>
        </w:tc>
      </w:tr>
      <w:tr>
        <w:trPr>
          <w:trHeight w:val="203"/>
        </w:trPr>
        <w:tc>
          <w:tcPr>
            <w:tcW w:w="20" w:type="dxa"/>
            <w:vAlign w:val="bottom"/>
          </w:tcPr>
          <w:p>
            <w:pPr>
              <w:spacing w:after="0"/>
              <w:rPr>
                <w:sz w:val="17"/>
                <w:szCs w:val="17"/>
                <w:color w:val="auto"/>
              </w:rPr>
            </w:pPr>
          </w:p>
        </w:tc>
        <w:tc>
          <w:tcPr>
            <w:tcW w:w="2300" w:type="dxa"/>
            <w:vAlign w:val="bottom"/>
            <w:gridSpan w:val="5"/>
          </w:tcPr>
          <w:p>
            <w:pPr>
              <w:ind w:left="120"/>
              <w:spacing w:after="0" w:line="202" w:lineRule="exact"/>
              <w:rPr>
                <w:sz w:val="20"/>
                <w:szCs w:val="20"/>
                <w:color w:val="auto"/>
              </w:rPr>
            </w:pPr>
            <w:r>
              <w:rPr>
                <w:rFonts w:ascii="Times New Roman" w:cs="Times New Roman" w:eastAsia="Times New Roman" w:hAnsi="Times New Roman"/>
                <w:sz w:val="14"/>
                <w:szCs w:val="14"/>
                <w:color w:val="auto"/>
              </w:rPr>
              <w:t>NewQuest V</w:t>
            </w:r>
            <w:r>
              <w:rPr>
                <w:rFonts w:ascii="Times New Roman" w:cs="Times New Roman" w:eastAsia="Times New Roman" w:hAnsi="Times New Roman"/>
                <w:sz w:val="18"/>
                <w:szCs w:val="18"/>
                <w:color w:val="auto"/>
                <w:vertAlign w:val="superscript"/>
              </w:rPr>
              <w:t>(12)</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1.5x</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1.3x</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NewQuest Funds</w:t>
            </w:r>
          </w:p>
        </w:tc>
        <w:tc>
          <w:tcPr>
            <w:tcW w:w="1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2,930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2,736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2,527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2,261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4,788</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31%</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1.8x</w:t>
            </w: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17%</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1.5x</w:t>
            </w: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reflects the performance of our significant perpetual funds as of September 30, 2026 ($ 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320" w:type="dxa"/>
            <w:vAlign w:val="bottom"/>
            <w:gridSpan w:val="2"/>
          </w:tcPr>
          <w:p>
            <w:pPr>
              <w:ind w:left="1000"/>
              <w:spacing w:after="0"/>
              <w:rPr>
                <w:sz w:val="20"/>
                <w:szCs w:val="20"/>
                <w:color w:val="auto"/>
              </w:rPr>
            </w:pPr>
            <w:r>
              <w:rPr>
                <w:rFonts w:ascii="Times New Roman" w:cs="Times New Roman" w:eastAsia="Times New Roman" w:hAnsi="Times New Roman"/>
                <w:sz w:val="16"/>
                <w:szCs w:val="16"/>
                <w:b w:val="1"/>
                <w:bCs w:val="1"/>
                <w:color w:val="auto"/>
              </w:rPr>
              <w:t>Fund</w:t>
            </w:r>
          </w:p>
        </w:tc>
        <w:tc>
          <w:tcPr>
            <w:tcW w:w="16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Vintage Year</w:t>
            </w:r>
            <w:r>
              <w:rPr>
                <w:rFonts w:ascii="Times New Roman" w:cs="Times New Roman" w:eastAsia="Times New Roman" w:hAnsi="Times New Roman"/>
                <w:sz w:val="21"/>
                <w:szCs w:val="21"/>
                <w:b w:val="1"/>
                <w:bCs w:val="1"/>
                <w:color w:val="auto"/>
                <w:vertAlign w:val="superscript"/>
              </w:rPr>
              <w:t>(1)</w:t>
            </w:r>
          </w:p>
        </w:tc>
        <w:tc>
          <w:tcPr>
            <w:tcW w:w="340" w:type="dxa"/>
            <w:vAlign w:val="bottom"/>
          </w:tcPr>
          <w:p>
            <w:pPr>
              <w:spacing w:after="0"/>
              <w:rPr>
                <w:sz w:val="20"/>
                <w:szCs w:val="20"/>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AUM</w:t>
            </w:r>
          </w:p>
        </w:tc>
        <w:tc>
          <w:tcPr>
            <w:tcW w:w="17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 Return</w:t>
            </w:r>
            <w:r>
              <w:rPr>
                <w:rFonts w:ascii="Times New Roman" w:cs="Times New Roman" w:eastAsia="Times New Roman" w:hAnsi="Times New Roman"/>
                <w:sz w:val="21"/>
                <w:szCs w:val="21"/>
                <w:b w:val="1"/>
                <w:bCs w:val="1"/>
                <w:color w:val="auto"/>
                <w:vertAlign w:val="superscript"/>
              </w:rPr>
              <w:t>(10)</w:t>
            </w:r>
          </w:p>
        </w:tc>
      </w:tr>
      <w:tr>
        <w:trPr>
          <w:trHeight w:val="34"/>
        </w:trPr>
        <w:tc>
          <w:tcPr>
            <w:tcW w:w="2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r>
      <w:tr>
        <w:trPr>
          <w:trHeight w:val="175"/>
        </w:trPr>
        <w:tc>
          <w:tcPr>
            <w:tcW w:w="20" w:type="dxa"/>
            <w:vAlign w:val="bottom"/>
            <w:shd w:val="clear" w:color="auto" w:fill="CCEEFF"/>
          </w:tcPr>
          <w:p>
            <w:pPr>
              <w:spacing w:after="0"/>
              <w:rPr>
                <w:sz w:val="15"/>
                <w:szCs w:val="15"/>
                <w:color w:val="auto"/>
              </w:rPr>
            </w:pPr>
          </w:p>
        </w:tc>
        <w:tc>
          <w:tcPr>
            <w:tcW w:w="6180" w:type="dxa"/>
            <w:vAlign w:val="bottom"/>
            <w:gridSpan w:val="8"/>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Platform: Credit</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180" w:type="dxa"/>
            <w:vAlign w:val="bottom"/>
            <w:gridSpan w:val="8"/>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TPG Credit Solutions</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80" w:type="dxa"/>
            <w:vAlign w:val="bottom"/>
            <w:gridSpan w:val="8"/>
            <w:shd w:val="clear" w:color="auto" w:fill="CCEEFF"/>
          </w:tcPr>
          <w:p>
            <w:pPr>
              <w:ind w:left="120"/>
              <w:spacing w:after="0" w:line="216" w:lineRule="exact"/>
              <w:rPr>
                <w:sz w:val="20"/>
                <w:szCs w:val="20"/>
                <w:color w:val="auto"/>
              </w:rPr>
            </w:pPr>
            <w:r>
              <w:rPr>
                <w:rFonts w:ascii="Times New Roman" w:cs="Times New Roman" w:eastAsia="Times New Roman" w:hAnsi="Times New Roman"/>
                <w:sz w:val="16"/>
                <w:szCs w:val="16"/>
                <w:color w:val="auto"/>
              </w:rPr>
              <w:t>Corporate Credit Opportunities</w:t>
            </w:r>
            <w:r>
              <w:rPr>
                <w:rFonts w:ascii="Times New Roman" w:cs="Times New Roman" w:eastAsia="Times New Roman" w:hAnsi="Times New Roman"/>
                <w:sz w:val="21"/>
                <w:szCs w:val="21"/>
                <w:color w:val="auto"/>
                <w:vertAlign w:val="superscript"/>
              </w:rPr>
              <w:t>(16)</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13"/>
        </w:trPr>
        <w:tc>
          <w:tcPr>
            <w:tcW w:w="20" w:type="dxa"/>
            <w:vAlign w:val="bottom"/>
          </w:tcPr>
          <w:p>
            <w:pPr>
              <w:spacing w:after="0"/>
              <w:rPr>
                <w:sz w:val="18"/>
                <w:szCs w:val="18"/>
                <w:color w:val="auto"/>
              </w:rPr>
            </w:pPr>
          </w:p>
        </w:tc>
        <w:tc>
          <w:tcPr>
            <w:tcW w:w="6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Essential Housing Evergreen</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199"/>
        </w:trPr>
        <w:tc>
          <w:tcPr>
            <w:tcW w:w="20" w:type="dxa"/>
            <w:vAlign w:val="bottom"/>
            <w:shd w:val="clear" w:color="auto" w:fill="CCEEFF"/>
          </w:tcPr>
          <w:p>
            <w:pPr>
              <w:spacing w:after="0"/>
              <w:rPr>
                <w:sz w:val="17"/>
                <w:szCs w:val="17"/>
                <w:color w:val="auto"/>
              </w:rPr>
            </w:pPr>
          </w:p>
        </w:tc>
        <w:tc>
          <w:tcPr>
            <w:tcW w:w="6180" w:type="dxa"/>
            <w:vAlign w:val="bottom"/>
            <w:gridSpan w:val="8"/>
            <w:shd w:val="clear" w:color="auto" w:fill="CCEEFF"/>
          </w:tcPr>
          <w:p>
            <w:pPr>
              <w:spacing w:after="0" w:line="178" w:lineRule="exact"/>
              <w:rPr>
                <w:sz w:val="20"/>
                <w:szCs w:val="20"/>
                <w:color w:val="auto"/>
              </w:rPr>
            </w:pPr>
            <w:r>
              <w:rPr>
                <w:rFonts w:ascii="Times New Roman" w:cs="Times New Roman" w:eastAsia="Times New Roman" w:hAnsi="Times New Roman"/>
                <w:sz w:val="16"/>
                <w:szCs w:val="16"/>
                <w:i w:val="1"/>
                <w:iCs w:val="1"/>
                <w:color w:val="auto"/>
              </w:rPr>
              <w:t>TPG Asset Based Finance</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1700" w:type="dxa"/>
            <w:vAlign w:val="bottom"/>
            <w:tcBorders>
              <w:top w:val="single" w:sz="8" w:color="auto"/>
            </w:tcBorders>
            <w:gridSpan w:val="5"/>
          </w:tcPr>
          <w:p>
            <w:pPr>
              <w:ind w:left="120"/>
              <w:spacing w:after="0" w:line="216" w:lineRule="exact"/>
              <w:rPr>
                <w:sz w:val="20"/>
                <w:szCs w:val="20"/>
                <w:color w:val="auto"/>
              </w:rPr>
            </w:pPr>
            <w:r>
              <w:rPr>
                <w:rFonts w:ascii="Times New Roman" w:cs="Times New Roman" w:eastAsia="Times New Roman" w:hAnsi="Times New Roman"/>
                <w:sz w:val="16"/>
                <w:szCs w:val="16"/>
                <w:color w:val="auto"/>
              </w:rPr>
              <w:t>MVP Fund</w:t>
            </w:r>
            <w:r>
              <w:rPr>
                <w:rFonts w:ascii="Times New Roman" w:cs="Times New Roman" w:eastAsia="Times New Roman" w:hAnsi="Times New Roman"/>
                <w:sz w:val="21"/>
                <w:szCs w:val="21"/>
                <w:color w:val="auto"/>
                <w:vertAlign w:val="superscript"/>
              </w:rPr>
              <w:t>(17)</w:t>
            </w:r>
          </w:p>
        </w:tc>
        <w:tc>
          <w:tcPr>
            <w:tcW w:w="4480" w:type="dxa"/>
            <w:vAlign w:val="bottom"/>
            <w:tcBorders>
              <w:top w:val="single" w:sz="8" w:color="CCEEFF"/>
            </w:tcBorders>
            <w:gridSpan w:val="3"/>
          </w:tcPr>
          <w:p>
            <w:pPr>
              <w:spacing w:after="0"/>
              <w:rPr>
                <w:sz w:val="18"/>
                <w:szCs w:val="18"/>
                <w:color w:val="auto"/>
              </w:rPr>
            </w:pPr>
          </w:p>
        </w:tc>
        <w:tc>
          <w:tcPr>
            <w:tcW w:w="1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7,290</w:t>
            </w:r>
          </w:p>
        </w:tc>
        <w:tc>
          <w:tcPr>
            <w:tcW w:w="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16"/>
        </w:trPr>
        <w:tc>
          <w:tcPr>
            <w:tcW w:w="20" w:type="dxa"/>
            <w:vAlign w:val="bottom"/>
            <w:shd w:val="clear" w:color="auto" w:fill="CCEEFF"/>
          </w:tcPr>
          <w:p>
            <w:pPr>
              <w:spacing w:after="0"/>
              <w:rPr>
                <w:sz w:val="18"/>
                <w:szCs w:val="18"/>
                <w:color w:val="auto"/>
              </w:rPr>
            </w:pPr>
          </w:p>
        </w:tc>
        <w:tc>
          <w:tcPr>
            <w:tcW w:w="6180" w:type="dxa"/>
            <w:vAlign w:val="bottom"/>
            <w:gridSpan w:val="8"/>
            <w:shd w:val="clear" w:color="auto" w:fill="CCEEFF"/>
          </w:tcPr>
          <w:p>
            <w:pPr>
              <w:ind w:left="120"/>
              <w:spacing w:after="0" w:line="216" w:lineRule="exact"/>
              <w:rPr>
                <w:sz w:val="20"/>
                <w:szCs w:val="20"/>
                <w:color w:val="auto"/>
              </w:rPr>
            </w:pPr>
            <w:r>
              <w:rPr>
                <w:rFonts w:ascii="Times New Roman" w:cs="Times New Roman" w:eastAsia="Times New Roman" w:hAnsi="Times New Roman"/>
                <w:sz w:val="16"/>
                <w:szCs w:val="16"/>
                <w:color w:val="auto"/>
              </w:rPr>
              <w:t>ABC Evergreen</w:t>
            </w:r>
            <w:r>
              <w:rPr>
                <w:rFonts w:ascii="Times New Roman" w:cs="Times New Roman" w:eastAsia="Times New Roman" w:hAnsi="Times New Roman"/>
                <w:sz w:val="21"/>
                <w:szCs w:val="21"/>
                <w:color w:val="auto"/>
                <w:vertAlign w:val="superscript"/>
              </w:rPr>
              <w:t>(17)</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5,187</w:t>
            </w: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176"/>
        </w:trPr>
        <w:tc>
          <w:tcPr>
            <w:tcW w:w="20" w:type="dxa"/>
            <w:vAlign w:val="bottom"/>
          </w:tcPr>
          <w:p>
            <w:pPr>
              <w:spacing w:after="0"/>
              <w:rPr>
                <w:sz w:val="15"/>
                <w:szCs w:val="15"/>
                <w:color w:val="auto"/>
              </w:rPr>
            </w:pPr>
          </w:p>
        </w:tc>
        <w:tc>
          <w:tcPr>
            <w:tcW w:w="6180" w:type="dxa"/>
            <w:vAlign w:val="bottom"/>
            <w:gridSpan w:val="8"/>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TPG Direct Lending</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80" w:type="dxa"/>
            <w:vAlign w:val="bottom"/>
            <w:gridSpan w:val="8"/>
            <w:shd w:val="clear" w:color="auto" w:fill="CCEEFF"/>
          </w:tcPr>
          <w:p>
            <w:pPr>
              <w:ind w:left="120"/>
              <w:spacing w:after="0" w:line="216" w:lineRule="exact"/>
              <w:rPr>
                <w:sz w:val="20"/>
                <w:szCs w:val="20"/>
                <w:color w:val="auto"/>
              </w:rPr>
            </w:pPr>
            <w:r>
              <w:rPr>
                <w:rFonts w:ascii="Times New Roman" w:cs="Times New Roman" w:eastAsia="Times New Roman" w:hAnsi="Times New Roman"/>
                <w:sz w:val="16"/>
                <w:szCs w:val="16"/>
                <w:color w:val="auto"/>
              </w:rPr>
              <w:t>TCAP</w:t>
            </w:r>
            <w:r>
              <w:rPr>
                <w:rFonts w:ascii="Times New Roman" w:cs="Times New Roman" w:eastAsia="Times New Roman" w:hAnsi="Times New Roman"/>
                <w:sz w:val="21"/>
                <w:szCs w:val="21"/>
                <w:color w:val="auto"/>
                <w:vertAlign w:val="superscript"/>
              </w:rPr>
              <w:t>(18)</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5,635</w:t>
            </w: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16"/>
        </w:trPr>
        <w:tc>
          <w:tcPr>
            <w:tcW w:w="20" w:type="dxa"/>
            <w:vAlign w:val="bottom"/>
          </w:tcPr>
          <w:p>
            <w:pPr>
              <w:spacing w:after="0"/>
              <w:rPr>
                <w:sz w:val="18"/>
                <w:szCs w:val="18"/>
                <w:color w:val="auto"/>
              </w:rPr>
            </w:pPr>
          </w:p>
        </w:tc>
        <w:tc>
          <w:tcPr>
            <w:tcW w:w="6180" w:type="dxa"/>
            <w:vAlign w:val="bottom"/>
            <w:gridSpan w:val="8"/>
          </w:tcPr>
          <w:p>
            <w:pPr>
              <w:ind w:left="120"/>
              <w:spacing w:after="0" w:line="216" w:lineRule="exact"/>
              <w:rPr>
                <w:sz w:val="20"/>
                <w:szCs w:val="20"/>
                <w:color w:val="auto"/>
              </w:rPr>
            </w:pPr>
            <w:r>
              <w:rPr>
                <w:rFonts w:ascii="Times New Roman" w:cs="Times New Roman" w:eastAsia="Times New Roman" w:hAnsi="Times New Roman"/>
                <w:sz w:val="16"/>
                <w:szCs w:val="16"/>
                <w:color w:val="auto"/>
              </w:rPr>
              <w:t>MMDL Evergreen</w:t>
            </w:r>
            <w:r>
              <w:rPr>
                <w:rFonts w:ascii="Times New Roman" w:cs="Times New Roman" w:eastAsia="Times New Roman" w:hAnsi="Times New Roman"/>
                <w:sz w:val="21"/>
                <w:szCs w:val="21"/>
                <w:color w:val="auto"/>
                <w:vertAlign w:val="superscript"/>
              </w:rPr>
              <w:t>(17)</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5,151</w:t>
            </w:r>
          </w:p>
        </w:tc>
        <w:tc>
          <w:tcPr>
            <w:tcW w:w="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16"/>
        </w:trPr>
        <w:tc>
          <w:tcPr>
            <w:tcW w:w="20" w:type="dxa"/>
            <w:vAlign w:val="bottom"/>
            <w:shd w:val="clear" w:color="auto" w:fill="CCEEFF"/>
          </w:tcPr>
          <w:p>
            <w:pPr>
              <w:spacing w:after="0"/>
              <w:rPr>
                <w:sz w:val="18"/>
                <w:szCs w:val="18"/>
                <w:color w:val="auto"/>
              </w:rPr>
            </w:pPr>
          </w:p>
        </w:tc>
        <w:tc>
          <w:tcPr>
            <w:tcW w:w="6180" w:type="dxa"/>
            <w:vAlign w:val="bottom"/>
            <w:gridSpan w:val="8"/>
            <w:shd w:val="clear" w:color="auto" w:fill="CCEEFF"/>
          </w:tcPr>
          <w:p>
            <w:pPr>
              <w:ind w:left="120"/>
              <w:spacing w:after="0" w:line="216" w:lineRule="exact"/>
              <w:rPr>
                <w:sz w:val="20"/>
                <w:szCs w:val="20"/>
                <w:color w:val="auto"/>
              </w:rPr>
            </w:pPr>
            <w:r>
              <w:rPr>
                <w:rFonts w:ascii="Times New Roman" w:cs="Times New Roman" w:eastAsia="Times New Roman" w:hAnsi="Times New Roman"/>
                <w:sz w:val="16"/>
                <w:szCs w:val="16"/>
                <w:color w:val="auto"/>
              </w:rPr>
              <w:t>TPG Advantage Direct Lending</w:t>
            </w:r>
            <w:r>
              <w:rPr>
                <w:rFonts w:ascii="Times New Roman" w:cs="Times New Roman" w:eastAsia="Times New Roman" w:hAnsi="Times New Roman"/>
                <w:sz w:val="21"/>
                <w:szCs w:val="21"/>
                <w:color w:val="auto"/>
                <w:vertAlign w:val="superscript"/>
              </w:rPr>
              <w:t>(17)</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r>
      <w:tr>
        <w:trPr>
          <w:trHeight w:val="175"/>
        </w:trPr>
        <w:tc>
          <w:tcPr>
            <w:tcW w:w="20" w:type="dxa"/>
            <w:vAlign w:val="bottom"/>
          </w:tcPr>
          <w:p>
            <w:pPr>
              <w:spacing w:after="0"/>
              <w:rPr>
                <w:sz w:val="15"/>
                <w:szCs w:val="15"/>
                <w:color w:val="auto"/>
              </w:rPr>
            </w:pPr>
          </w:p>
        </w:tc>
        <w:tc>
          <w:tcPr>
            <w:tcW w:w="6180" w:type="dxa"/>
            <w:vAlign w:val="bottom"/>
            <w:gridSpan w:val="8"/>
          </w:tcPr>
          <w:p>
            <w:pPr>
              <w:spacing w:after="0" w:line="175" w:lineRule="exact"/>
              <w:rPr>
                <w:sz w:val="20"/>
                <w:szCs w:val="20"/>
                <w:color w:val="auto"/>
              </w:rPr>
            </w:pPr>
            <w:r>
              <w:rPr>
                <w:rFonts w:ascii="Times New Roman" w:cs="Times New Roman" w:eastAsia="Times New Roman" w:hAnsi="Times New Roman"/>
                <w:sz w:val="16"/>
                <w:szCs w:val="16"/>
                <w:i w:val="1"/>
                <w:iCs w:val="1"/>
                <w:color w:val="auto"/>
              </w:rPr>
              <w:t>TPG Multi-Asset Credit</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80" w:type="dxa"/>
            <w:vAlign w:val="bottom"/>
            <w:gridSpan w:val="8"/>
            <w:shd w:val="clear" w:color="auto" w:fill="CCEEFF"/>
          </w:tcPr>
          <w:p>
            <w:pPr>
              <w:ind w:left="120"/>
              <w:spacing w:after="0" w:line="216" w:lineRule="exact"/>
              <w:rPr>
                <w:sz w:val="20"/>
                <w:szCs w:val="20"/>
                <w:color w:val="auto"/>
              </w:rPr>
            </w:pPr>
            <w:r>
              <w:rPr>
                <w:rFonts w:ascii="Times New Roman" w:cs="Times New Roman" w:eastAsia="Times New Roman" w:hAnsi="Times New Roman"/>
                <w:sz w:val="16"/>
                <w:szCs w:val="16"/>
                <w:color w:val="auto"/>
              </w:rPr>
              <w:t>Dynamic Credit Income Fund</w:t>
            </w:r>
            <w:r>
              <w:rPr>
                <w:rFonts w:ascii="Times New Roman" w:cs="Times New Roman" w:eastAsia="Times New Roman" w:hAnsi="Times New Roman"/>
                <w:sz w:val="21"/>
                <w:szCs w:val="21"/>
                <w:color w:val="auto"/>
                <w:vertAlign w:val="superscript"/>
              </w:rPr>
              <w:t>(17)</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56"/>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auto"/>
            </w:tcBorders>
            <w:gridSpan w:val="6"/>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Platform: Market Solutions</w:t>
            </w:r>
          </w:p>
        </w:tc>
        <w:tc>
          <w:tcPr>
            <w:tcW w:w="4320" w:type="dxa"/>
            <w:vAlign w:val="bottom"/>
            <w:tcBorders>
              <w:bottom w:val="single" w:sz="8" w:color="CCEEFF"/>
            </w:tcBorders>
            <w:gridSpan w:val="2"/>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r>
      <w:tr>
        <w:trPr>
          <w:trHeight w:val="279"/>
        </w:trPr>
        <w:tc>
          <w:tcPr>
            <w:tcW w:w="20" w:type="dxa"/>
            <w:vAlign w:val="bottom"/>
          </w:tcPr>
          <w:p>
            <w:pPr>
              <w:spacing w:after="0"/>
              <w:rPr>
                <w:sz w:val="24"/>
                <w:szCs w:val="24"/>
                <w:color w:val="auto"/>
              </w:rPr>
            </w:pPr>
          </w:p>
        </w:tc>
        <w:tc>
          <w:tcPr>
            <w:tcW w:w="6180" w:type="dxa"/>
            <w:vAlign w:val="bottom"/>
            <w:gridSpan w:val="8"/>
          </w:tcPr>
          <w:p>
            <w:pPr>
              <w:ind w:left="120"/>
              <w:spacing w:after="0"/>
              <w:rPr>
                <w:sz w:val="20"/>
                <w:szCs w:val="20"/>
                <w:color w:val="auto"/>
              </w:rPr>
            </w:pPr>
            <w:r>
              <w:rPr>
                <w:rFonts w:ascii="Times New Roman" w:cs="Times New Roman" w:eastAsia="Times New Roman" w:hAnsi="Times New Roman"/>
                <w:sz w:val="16"/>
                <w:szCs w:val="16"/>
                <w:color w:val="auto"/>
              </w:rPr>
              <w:t>T-POP</w:t>
            </w:r>
            <w:r>
              <w:rPr>
                <w:rFonts w:ascii="Times New Roman" w:cs="Times New Roman" w:eastAsia="Times New Roman" w:hAnsi="Times New Roman"/>
                <w:sz w:val="21"/>
                <w:szCs w:val="21"/>
                <w:color w:val="auto"/>
                <w:vertAlign w:val="superscript"/>
              </w:rPr>
              <w:t>(19)</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2,693</w:t>
            </w:r>
          </w:p>
        </w:tc>
        <w:tc>
          <w:tcPr>
            <w:tcW w:w="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r>
    </w:tbl>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Note:</w:t>
      </w:r>
    </w:p>
    <w:p>
      <w:pPr>
        <w:spacing w:after="0" w:line="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Past performance is not indicative of future results.</w:t>
      </w:r>
    </w:p>
    <w:p>
      <w:pPr>
        <w:spacing w:after="0" w:line="69" w:lineRule="exact"/>
        <w:rPr>
          <w:sz w:val="20"/>
          <w:szCs w:val="20"/>
          <w:color w:val="auto"/>
        </w:rPr>
      </w:pPr>
    </w:p>
    <w:p>
      <w:pPr>
        <w:jc w:val="both"/>
        <w:ind w:left="500"/>
        <w:spacing w:after="0" w:line="301" w:lineRule="auto"/>
        <w:rPr>
          <w:sz w:val="20"/>
          <w:szCs w:val="20"/>
          <w:color w:val="auto"/>
        </w:rPr>
      </w:pPr>
      <w:r>
        <w:rPr>
          <w:rFonts w:ascii="Times New Roman" w:cs="Times New Roman" w:eastAsia="Times New Roman" w:hAnsi="Times New Roman"/>
          <w:sz w:val="14"/>
          <w:szCs w:val="14"/>
          <w:color w:val="auto"/>
        </w:rPr>
        <w:t>“NM” signifies that the relevant data would not be meaningful. Performance metrics are generally deemed “NM” when, among other reasons, there has been limited time since initial investment.</w:t>
      </w:r>
    </w:p>
    <w:p>
      <w:pPr>
        <w:spacing w:after="0" w:line="1"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4"/>
          <w:szCs w:val="14"/>
          <w:color w:val="auto"/>
        </w:rPr>
        <w:t>Performance metrics generally exclude amounts attributable to the fund’s general partner, its affiliated entities and “friends-of-the-firm” entities that generally pay no or reduced management fees and performance allocations. These metrics also represent an average of returns for all included investors and do not necessarily reflect the actual return of any particular investor.</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Amounts shown are in U.S. dollars.</w:t>
      </w:r>
    </w:p>
    <w:p>
      <w:pPr>
        <w:spacing w:after="0" w:line="69" w:lineRule="exact"/>
        <w:rPr>
          <w:sz w:val="20"/>
          <w:szCs w:val="20"/>
          <w:color w:val="auto"/>
        </w:rPr>
      </w:pPr>
    </w:p>
    <w:p>
      <w:pPr>
        <w:jc w:val="both"/>
        <w:ind w:left="500" w:right="20"/>
        <w:spacing w:after="0" w:line="301" w:lineRule="auto"/>
        <w:rPr>
          <w:sz w:val="20"/>
          <w:szCs w:val="20"/>
          <w:color w:val="auto"/>
        </w:rPr>
      </w:pPr>
      <w:r>
        <w:rPr>
          <w:rFonts w:ascii="Times New Roman" w:cs="Times New Roman" w:eastAsia="Times New Roman" w:hAnsi="Times New Roman"/>
          <w:sz w:val="14"/>
          <w:szCs w:val="14"/>
          <w:color w:val="auto"/>
        </w:rPr>
        <w:t>Unless otherwise noted, when an investment is made in another currency, (i) Capital Invested is calculated using the exchange rate at the time of the investment, (ii) Unrealized Value is calculated using the exchange rate at the period end and (iii) Realized Value reflects actual U.S. dollar proceeds to the fund.</w:t>
      </w:r>
    </w:p>
    <w:p>
      <w:pPr>
        <w:spacing w:after="0" w:line="1" w:lineRule="exact"/>
        <w:rPr>
          <w:sz w:val="20"/>
          <w:szCs w:val="20"/>
          <w:color w:val="auto"/>
        </w:rPr>
      </w:pPr>
    </w:p>
    <w:p>
      <w:pPr>
        <w:ind w:left="500" w:hanging="492"/>
        <w:spacing w:after="0" w:line="282" w:lineRule="auto"/>
        <w:tabs>
          <w:tab w:leader="none" w:pos="49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Vintage Year represents the year in which the fund consummated its first investment (or, if earlier, received its first capital contributions from investors). For platforms other than Credit, for consistency with prior reporting, however, the Vintage Year classification of any fund that held its initial closing before 2018 represents the year of such fund’s initial closing.</w:t>
      </w:r>
    </w:p>
    <w:p>
      <w:pPr>
        <w:spacing w:after="0" w:line="13" w:lineRule="exact"/>
        <w:rPr>
          <w:rFonts w:ascii="Times New Roman" w:cs="Times New Roman" w:eastAsia="Times New Roman" w:hAnsi="Times New Roman"/>
          <w:sz w:val="14"/>
          <w:szCs w:val="14"/>
          <w:color w:val="auto"/>
        </w:rPr>
      </w:pPr>
    </w:p>
    <w:p>
      <w:pPr>
        <w:ind w:left="500" w:hanging="492"/>
        <w:spacing w:after="0" w:line="301" w:lineRule="auto"/>
        <w:tabs>
          <w:tab w:leader="none" w:pos="49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Committed represents the amount of inception-to-date commitments a particular fund has received. Certain of our newer vintage funds are actively fundraising and capital committed is subject to change.</w:t>
      </w:r>
    </w:p>
    <w:p>
      <w:pPr>
        <w:spacing w:after="0" w:line="1" w:lineRule="exact"/>
        <w:rPr>
          <w:rFonts w:ascii="Times New Roman" w:cs="Times New Roman" w:eastAsia="Times New Roman" w:hAnsi="Times New Roman"/>
          <w:sz w:val="14"/>
          <w:szCs w:val="14"/>
          <w:color w:val="auto"/>
        </w:rPr>
      </w:pPr>
    </w:p>
    <w:p>
      <w:pPr>
        <w:ind w:left="500" w:right="20" w:hanging="492"/>
        <w:spacing w:after="0" w:line="282" w:lineRule="auto"/>
        <w:tabs>
          <w:tab w:leader="none" w:pos="49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Invested represents cash outlays by the fund for its investments, whether funded through investor capital contributions or borrowing under the fund’s credit facility. For Credit funds, Capital Invested represents inception-to-date investor contributed capital net of returned contributions, excluding borrowings under the fund’s credit facility.</w:t>
      </w:r>
    </w:p>
    <w:p>
      <w:pPr>
        <w:spacing w:after="0" w:line="13" w:lineRule="exact"/>
        <w:rPr>
          <w:rFonts w:ascii="Times New Roman" w:cs="Times New Roman" w:eastAsia="Times New Roman" w:hAnsi="Times New Roman"/>
          <w:sz w:val="14"/>
          <w:szCs w:val="14"/>
          <w:color w:val="auto"/>
        </w:rPr>
      </w:pPr>
    </w:p>
    <w:p>
      <w:pPr>
        <w:ind w:left="500" w:right="20" w:hanging="492"/>
        <w:spacing w:after="0" w:line="301" w:lineRule="auto"/>
        <w:tabs>
          <w:tab w:leader="none" w:pos="49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Value represents total cash received or earned by the fund in respect of such investment or investments through the period end, including all interest, dividends and other proceeds. For Credit funds, Realized Value represents inception-to-date capital distributed by the fund, including any performance distributions net of recalled distributions, if any.</w:t>
      </w:r>
    </w:p>
    <w:p>
      <w:pPr>
        <w:spacing w:after="0" w:line="1" w:lineRule="exact"/>
        <w:rPr>
          <w:rFonts w:ascii="Times New Roman" w:cs="Times New Roman" w:eastAsia="Times New Roman" w:hAnsi="Times New Roman"/>
          <w:sz w:val="14"/>
          <w:szCs w:val="14"/>
          <w:color w:val="auto"/>
        </w:rPr>
      </w:pPr>
    </w:p>
    <w:p>
      <w:pPr>
        <w:jc w:val="both"/>
        <w:ind w:left="500" w:right="20" w:hanging="492"/>
        <w:spacing w:after="0" w:line="266" w:lineRule="auto"/>
        <w:tabs>
          <w:tab w:leader="none" w:pos="49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Unrealized Value, with respect to an investment in a publicly traded security, is based on the closing market price of the security as of the period end on the principal exchange on which the security trades, as adjusted by the general partner for any restrictions on disposition. Unrealized Value, with respect to an investment that is not a publicly traded security, represents the general partner’s estimate of the unrealized fair value of the fund’s investment. Unrealized Value, with respect to Credit funds, represents the ending NAV for such fund, which is the period end ending capital balances of the investors and general partner. Valuations entail a degree of subjectivity, and therefore actual value may differ from such estimated value and these differences may be material and adverse. Except as otherwise noted, valuations are as of the period end.</w:t>
      </w:r>
    </w:p>
    <w:p>
      <w:pPr>
        <w:spacing w:after="0" w:line="25"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Value is the sum of Realized Value and Unrealized Value of investments.</w:t>
      </w:r>
    </w:p>
    <w:p>
      <w:pPr>
        <w:spacing w:after="0" w:line="68" w:lineRule="exact"/>
        <w:rPr>
          <w:rFonts w:ascii="Times New Roman" w:cs="Times New Roman" w:eastAsia="Times New Roman" w:hAnsi="Times New Roman"/>
          <w:sz w:val="14"/>
          <w:szCs w:val="14"/>
          <w:color w:val="auto"/>
        </w:rPr>
      </w:pPr>
    </w:p>
    <w:p>
      <w:pPr>
        <w:jc w:val="both"/>
        <w:ind w:left="500" w:hanging="492"/>
        <w:spacing w:after="0" w:line="268" w:lineRule="auto"/>
        <w:tabs>
          <w:tab w:leader="none" w:pos="49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internal rate of return (“Gross IRR”) and Gross multiple of money (“Gross MoM”) represent investment level performance by the fund and incorporates the impact of fund level credit facilities, to the extent utilized by the fund. Gross IRR and Gross MoM exclude management fees, fund expenses (other than interest expense and other fees arising from amounts borrowed under the fund’s credit facility to fund investments) and performance allocations. Gross IRR is the discount rate at which (i) the present value of all Capital Invested in an investment or investments is equal to (ii) the present value of all realized and unrealized returns from such investment or investments.</w:t>
      </w:r>
    </w:p>
    <w:p>
      <w:pPr>
        <w:spacing w:after="0" w:line="23" w:lineRule="exact"/>
        <w:rPr>
          <w:rFonts w:ascii="Times New Roman" w:cs="Times New Roman" w:eastAsia="Times New Roman" w:hAnsi="Times New Roman"/>
          <w:sz w:val="14"/>
          <w:szCs w:val="14"/>
          <w:color w:val="auto"/>
        </w:rPr>
      </w:pPr>
    </w:p>
    <w:p>
      <w:pPr>
        <w:jc w:val="both"/>
        <w:ind w:left="500" w:hanging="492"/>
        <w:spacing w:after="0" w:line="268" w:lineRule="auto"/>
        <w:tabs>
          <w:tab w:leader="none" w:pos="49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IRR represents the compound annualized return rate (i.e., the implied discount rate) of a fund, which is calculated using investor cash flows in the fund, including cash received from capital called from investors, cash distributed to investors and the investors’ ending capital balances as of the period end. Net IRR is the discount rate at which (i) the present value of all capital contributed by investors to the fund (which excludes, for the avoidance of doubt, any amounts borrowed by the fund in lieu of calling capital) is equal to (ii) the present value of all cash distributed to investors and the investors’ ending capital balances.</w:t>
      </w:r>
    </w:p>
    <w:p>
      <w:pPr>
        <w:spacing w:after="0" w:line="23" w:lineRule="exact"/>
        <w:rPr>
          <w:rFonts w:ascii="Times New Roman" w:cs="Times New Roman" w:eastAsia="Times New Roman" w:hAnsi="Times New Roman"/>
          <w:sz w:val="14"/>
          <w:szCs w:val="14"/>
          <w:color w:val="auto"/>
        </w:rPr>
      </w:pPr>
    </w:p>
    <w:p>
      <w:pPr>
        <w:jc w:val="both"/>
        <w:ind w:left="500" w:hanging="492"/>
        <w:spacing w:after="0" w:line="281" w:lineRule="auto"/>
        <w:tabs>
          <w:tab w:leader="none" w:pos="49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MoM represents the multiple-of-money on contributions to the fund by investors. Net MoM is calculated as the sum of cash distributed to investors and the investors’ ending capital balances as of the period end, divided by the amount of capital contributed to the fund by investors (which amount excludes, for the avoidance of doubt, any amounts borrowed by the fund in lieu of calling capital).</w:t>
      </w:r>
    </w:p>
    <w:p>
      <w:pPr>
        <w:spacing w:after="0" w:line="1" w:lineRule="exact"/>
        <w:rPr>
          <w:rFonts w:ascii="Times New Roman" w:cs="Times New Roman" w:eastAsia="Times New Roman" w:hAnsi="Times New Roman"/>
          <w:sz w:val="14"/>
          <w:szCs w:val="14"/>
          <w:color w:val="auto"/>
        </w:rPr>
      </w:pPr>
    </w:p>
    <w:p>
      <w:pPr>
        <w:ind w:left="500" w:hanging="492"/>
        <w:spacing w:after="0" w:line="301" w:lineRule="auto"/>
        <w:tabs>
          <w:tab w:leader="none" w:pos="497"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represents net performance data for investors (excluding certain classes/series with special fee arrangements), net of all expenses including actual quarterly management fees payable by the fund and the accrual of carried interest to the general partner.</w:t>
      </w:r>
    </w:p>
    <w:p>
      <w:pPr>
        <w:spacing w:after="0" w:line="1" w:lineRule="exact"/>
        <w:rPr>
          <w:rFonts w:ascii="Times New Roman" w:cs="Times New Roman" w:eastAsia="Times New Roman" w:hAnsi="Times New Roman"/>
          <w:sz w:val="14"/>
          <w:szCs w:val="14"/>
          <w:color w:val="auto"/>
        </w:rPr>
      </w:pPr>
    </w:p>
    <w:p>
      <w:pPr>
        <w:ind w:left="500" w:right="20" w:hanging="492"/>
        <w:spacing w:after="0" w:line="301" w:lineRule="auto"/>
        <w:tabs>
          <w:tab w:leader="none" w:pos="491"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Rise Climate Global South Fund excludes a $500 million commitment from ALTÉRRA Transformation LP made to a separate vehicle for purposes of deploying catalytic capital in connection with investments located in the Global South made by the Rise Climate II Fund and the Rise Climate Global South Fund.</w:t>
      </w:r>
    </w:p>
    <w:p>
      <w:pPr>
        <w:spacing w:after="0" w:line="1"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specified, the fund performance information presented above for certain funds is, due to the nature of their strategy, as of June 30, 2026.</w:t>
      </w:r>
    </w:p>
    <w:p>
      <w:pPr>
        <w:spacing w:after="0" w:line="55" w:lineRule="exact"/>
        <w:rPr>
          <w:rFonts w:ascii="Times New Roman" w:cs="Times New Roman" w:eastAsia="Times New Roman" w:hAnsi="Times New Roman"/>
          <w:sz w:val="14"/>
          <w:szCs w:val="14"/>
          <w:color w:val="auto"/>
        </w:rPr>
      </w:pPr>
    </w:p>
    <w:p>
      <w:pPr>
        <w:jc w:val="both"/>
        <w:ind w:left="500" w:hanging="492"/>
        <w:spacing w:after="0" w:line="275" w:lineRule="auto"/>
        <w:tabs>
          <w:tab w:leader="none" w:pos="497"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TPG Direct Lending fund is comprised of four vehicles: onshore levered, onshore unlevered, offshore levered and offshore unlevered. Capital Committed, Capital Invested, Realized Value, Unrealized Value and Total Value for each fund are presented on a consolidated basis across the four vehicles. Performance metrics are presented only for the onshore levered vehicle of each fund. The Net IRRs and Net MoMs for TPG Direct Lending funds on a consolidated basis were: (i) for the onshore unlevered vehicles, 7% and 1.3x, (ii) for the offshore levered vehicles, 9% and 1.3x and (iii) for the offshore unlevered vehicles, 7% and 1.2x.</w:t>
      </w:r>
    </w:p>
    <w:p>
      <w:pPr>
        <w:spacing w:after="0" w:line="18" w:lineRule="exact"/>
        <w:rPr>
          <w:rFonts w:ascii="Times New Roman" w:cs="Times New Roman" w:eastAsia="Times New Roman" w:hAnsi="Times New Roman"/>
          <w:sz w:val="14"/>
          <w:szCs w:val="14"/>
          <w:color w:val="auto"/>
        </w:rPr>
      </w:pPr>
    </w:p>
    <w:p>
      <w:pPr>
        <w:ind w:left="500" w:hanging="492"/>
        <w:spacing w:after="0" w:line="282" w:lineRule="auto"/>
        <w:tabs>
          <w:tab w:leader="none" w:pos="497"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Japanese-Yen denominated fund. Commitments, Capital Invested and Realized Value are calculated using the exchange rate at the end of the quarter in which the relevant commitment was made or transaction occurred, as applicable.</w:t>
      </w:r>
    </w:p>
    <w:p>
      <w:pPr>
        <w:spacing w:after="0" w:line="13" w:lineRule="exact"/>
        <w:rPr>
          <w:rFonts w:ascii="Times New Roman" w:cs="Times New Roman" w:eastAsia="Times New Roman" w:hAnsi="Times New Roman"/>
          <w:sz w:val="14"/>
          <w:szCs w:val="14"/>
          <w:color w:val="auto"/>
        </w:rPr>
      </w:pPr>
    </w:p>
    <w:p>
      <w:pPr>
        <w:jc w:val="both"/>
        <w:ind w:left="500" w:hanging="492"/>
        <w:spacing w:after="0" w:line="279" w:lineRule="auto"/>
        <w:tabs>
          <w:tab w:leader="none" w:pos="497"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Euro denominated fund entity with Commitments, Capital Invested and Realized Value calculated using the exchange rate at the end of the quarter in which the relevant commitment was made or transaction occurred, as applicable. Performance metrics only reflects capital committed in U.S. dollars, which represents the majority of capital committed to each fund. Net IRR and Net MoM were: (i) for the euro-denominated vehicle of Europe Realty III, (5%) and 0.8x and (ii) for the euro-denominated vehicle of Europe Realty IV, 3% and 1.0x.</w:t>
      </w:r>
    </w:p>
    <w:p>
      <w:pPr>
        <w:spacing w:after="0" w:line="181" w:lineRule="exact"/>
        <w:rPr>
          <w:rFonts w:ascii="Times New Roman" w:cs="Times New Roman" w:eastAsia="Times New Roman" w:hAnsi="Times New Roman"/>
          <w:sz w:val="14"/>
          <w:szCs w:val="14"/>
          <w:color w:val="auto"/>
        </w:rPr>
      </w:pPr>
    </w:p>
    <w:p>
      <w:pPr>
        <w:ind w:left="500" w:hanging="492"/>
        <w:spacing w:after="0"/>
        <w:tabs>
          <w:tab w:leader="none" w:pos="5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includes onshore investors participating directly through the master fund and investors through the offshore vehicle. Total Return for the offshore vehicle was 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0" w:hanging="492"/>
        <w:spacing w:after="0"/>
        <w:tabs>
          <w:tab w:leader="none" w:pos="5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Returns for onshore funds only. Total Returns for the offshore vehicles were: (i) for MVP Fund, 11%, (ii) for ABC Evergreen, 19%, (iii) for MMDL Offshore Evergreen, 9%, and</w:t>
      </w:r>
    </w:p>
    <w:p>
      <w:pPr>
        <w:spacing w:after="0" w:line="27" w:lineRule="exact"/>
        <w:rPr>
          <w:rFonts w:ascii="Times New Roman" w:cs="Times New Roman" w:eastAsia="Times New Roman" w:hAnsi="Times New Roman"/>
          <w:sz w:val="14"/>
          <w:szCs w:val="14"/>
          <w:color w:val="auto"/>
        </w:rPr>
      </w:pPr>
    </w:p>
    <w:p>
      <w:pPr>
        <w:ind w:left="500" w:hanging="6"/>
        <w:spacing w:after="0" w:line="282" w:lineRule="auto"/>
        <w:tabs>
          <w:tab w:leader="none" w:pos="756"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Dynamic Credit Income Fund (formerly Super Fund), 8%. MMDL Lux Offshore and TPG Advantage Direct Lending Offshore were recently launched and do not yet have a meaningful Total Return.</w:t>
      </w:r>
    </w:p>
    <w:p>
      <w:pPr>
        <w:jc w:val="both"/>
        <w:ind w:left="500" w:hanging="492"/>
        <w:spacing w:after="0" w:line="262" w:lineRule="auto"/>
        <w:tabs>
          <w:tab w:leader="none" w:pos="497"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is calculated as the change in NAV per share during the period, plus distributions per share (assuming dividends and distributions are reinvested) divided by the beginning NAV per share. Inception-to-date figures for Class I, Class D and Class S shares use the initial offering price per share as the beginning NAV. Total Return presented is for Class I and is prior to the impact of any potential upfront placement fees. An investment in TCAP is subject to a maximum upfront placement fee of 1.5% for Class D and 3.5% for Class S, which would reduce the amount of capital available for investment, if applicable. There are no upfront placement fees for Class I shares. Total Return has been annualized for periods less than or greater than one year.</w:t>
      </w:r>
    </w:p>
    <w:p>
      <w:pPr>
        <w:spacing w:after="0" w:line="1" w:lineRule="exact"/>
        <w:rPr>
          <w:rFonts w:ascii="Times New Roman" w:cs="Times New Roman" w:eastAsia="Times New Roman" w:hAnsi="Times New Roman"/>
          <w:sz w:val="14"/>
          <w:szCs w:val="14"/>
          <w:color w:val="auto"/>
        </w:rPr>
      </w:pPr>
    </w:p>
    <w:p>
      <w:pPr>
        <w:ind w:left="500" w:hanging="492"/>
        <w:spacing w:after="0" w:line="278" w:lineRule="auto"/>
        <w:tabs>
          <w:tab w:leader="none" w:pos="497"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T-POP blended Total Return reflects a per unit return based on Class I and Class R-I, including reinvestment of any dividends received during the period (if applicable), and no upfront selling commission, net of all fees and expenses incurred by T-POP. Blended Total Return for Class S and R-S is 30%.</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have historically derived revenues primarily from third-party assets under management and have required limited capital resources to support the working capital or operating needs of our business. We believe that our current sources of liquidity described below are sufficient to meet our projected capital needs and other obligations as they arise for at least the next twelve months. To the extent that our current liquidity is insufficient to fund future activities, we may need to raise additional funds. In the future, we may attempt to raise additional capital through the sale of equity securities or through debt financing arrangements. If we raise additional funds by issuing equity securities, the ownership of our existing investors will be diluted. The incurrence of additional debt financing would result in incremental debt service obligations, and any future instruments governing such debt could include operating and financial covenants that could restrict our operations.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September 30, 2026, our total liquidity was $2,819.8 million, comprised of $799.8 million of cash and cash equivalents, excluding $13.3 million of restricted cash, as well as $1,750.0 million, $30.0 million and $240.0 million of incremental borrowing capacity under the Senior Unsecured Revolving Credit Facility, Subordinated Credit Facility and 364-Day Credit Facility, respectively. Total cash of $813.0 million as of September 30, 2026 includes $111.9 million of cash that is attributable to the TPG Operating Group and on balance sheet securitization vehicles.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multiple sources of liquidity to meet our capital needs, including:</w:t>
      </w:r>
    </w:p>
    <w:p>
      <w:pPr>
        <w:spacing w:after="0" w:line="225" w:lineRule="exact"/>
        <w:rPr>
          <w:sz w:val="20"/>
          <w:szCs w:val="20"/>
          <w:color w:val="auto"/>
        </w:rPr>
      </w:pPr>
    </w:p>
    <w:p>
      <w:pPr>
        <w:ind w:left="980" w:hanging="486"/>
        <w:spacing w:after="0" w:line="282" w:lineRule="auto"/>
        <w:tabs>
          <w:tab w:leader="none" w:pos="9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generated by our operating activities, such as management fees, monitoring, transaction and other fees, realized capital allocation-based income and investment sales from our consolidated funds;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received from investing activities, including amounts received from notes receivable from affiliates; and</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received from our financing activities, including cash and funds available under our credit facilities.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consolidated cash, cash equivalents and restricted cash totaled approximately $813.0 million at September 30,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Unsecured Revolving Credit Facility</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March 2011, TPG Holdings, L.P. entered into a $400.0 million credit facility. As of September 30, 2026, the Senior Unsecured Revolving Credit Facility, as currently amended, had aggregate revolving commitments of $1.75 billion and a maturity date of May 30, 2030.</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Dollar-denominated principal amounts outstanding under the Senior Unsecured Revolving Credit Facility accrue interest, at the option of the applicable borrower, either (i) at a base rate plus applicable margin not to exceed 0.20% per annum or (ii) at a term SOFR rate plus a 0.10% per annum adjustment and an applicable margin not to exceed 1.20%. We are also required to pay a quarterly commitment fee on the unused commitments under the Senior Unsecured Revolving Credit Facility not to exceed 0.15% per annum, as well as certain customary fees for any issued letters of credit.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Notes Issuer has issued Senior Notes, on which interest is payable semi-annually, as discussed below. The Senior Notes will mature on the maturity dates discussed below, unless earlier accelerated, redeemed or repurchased. The Senior Notes are fully and unconditionally guaranteed, jointly and severally, by each of the Guarantors, and are unsecured and unsubordinated obligations of the Notes Issuer and the Guarantors. The Senior Notes contain certain covenants which, subject to certain limitations, restrict the ability of the Notes Issuer and, as applicable, the Guarantors to merge, consolidate or sell, assign, transfer, lease or convey all or substantially all of their combined assets, or create liens on the voting stock of their subsidiaries.</w:t>
      </w:r>
    </w:p>
    <w:p>
      <w:pPr>
        <w:spacing w:after="0" w:line="181"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2031 Senior Notes: </w:t>
      </w:r>
      <w:r>
        <w:rPr>
          <w:rFonts w:ascii="Times New Roman" w:cs="Times New Roman" w:eastAsia="Times New Roman" w:hAnsi="Times New Roman"/>
          <w:sz w:val="18"/>
          <w:szCs w:val="18"/>
          <w:color w:val="auto"/>
        </w:rPr>
        <w:t>On February 26, 2026, the Notes Issuer issued in an SEC-registered offering $500.0 million aggregate principal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Notes due 2031. The 2031 Senior Notes bear interest at a rate of 4.875% per annum, which is payable semiannually in arrears on May 15 and November 15 of each year, beginning on November 15, 2026.</w:t>
      </w:r>
    </w:p>
    <w:p>
      <w:pPr>
        <w:spacing w:after="0" w:line="17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2036 Senior Notes</w:t>
      </w:r>
      <w:r>
        <w:rPr>
          <w:rFonts w:ascii="Times New Roman" w:cs="Times New Roman" w:eastAsia="Times New Roman" w:hAnsi="Times New Roman"/>
          <w:sz w:val="18"/>
          <w:szCs w:val="18"/>
          <w:color w:val="auto"/>
        </w:rPr>
        <w:t>: On August 14, 2025, the Notes Issuer issued in an SEC-registered offering $500.0 million aggregate principal amount of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due 2036. The 2036 Senior Notes bear interest at a rate of 5.375% per annum, which is payable semi-annually in arrears on January 15 and July 15 of each year, beginning on January 15, 2026.</w:t>
      </w:r>
    </w:p>
    <w:p>
      <w:pPr>
        <w:spacing w:after="0" w:line="17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2034 Senior Notes</w:t>
      </w:r>
      <w:r>
        <w:rPr>
          <w:rFonts w:ascii="Times New Roman" w:cs="Times New Roman" w:eastAsia="Times New Roman" w:hAnsi="Times New Roman"/>
          <w:sz w:val="18"/>
          <w:szCs w:val="18"/>
          <w:color w:val="auto"/>
        </w:rPr>
        <w:t>: On March 5, 2024, the Notes Issuer issued in an SEC-registered offering $600.0 million aggregate principal amount of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due 2034. The 2034 Senior Notes bear interest at a rate of 5.875% per annum, which is payable semi-annually in arrears on March 5 and September 5 of each year, beginning on September 5, 2024.</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payment of the principal of, premium, if any, and interest on the Senior Notes and the payment of any Senior Notes guarantee will:</w:t>
      </w:r>
    </w:p>
    <w:p>
      <w:pPr>
        <w:spacing w:after="0" w:line="225" w:lineRule="exact"/>
        <w:rPr>
          <w:sz w:val="20"/>
          <w:szCs w:val="20"/>
          <w:color w:val="auto"/>
        </w:rPr>
      </w:pPr>
    </w:p>
    <w:p>
      <w:pPr>
        <w:ind w:left="980" w:hanging="486"/>
        <w:spacing w:after="0" w:line="282" w:lineRule="auto"/>
        <w:tabs>
          <w:tab w:leader="none" w:pos="9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in right of payment with all existing and future unsecured and unsubordinated indebtedness, liabilities and other obligations of the Notes Issuer or the relevant Guarantor, including indebtedness under the Amended Senior Unsecured Revolving Credit Facility;</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senior in right of payment to all existing and future subordinated indebtedness, liabilities and other obligations of the Notes Issuer or the relevant Guarantor;</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effectively subordinated to all existing and future secured indebtedness of the Notes Issuer or the relevant Guarantor, to the extent of the value of the assets securing such indebtedness; and</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effectively subordinated in right of payment to all existing and future indebtedness, liabilities and other obligations of each subsidiary of the Issuer or the relevant Guarantor that is not itself the Notes Issuer or a Guarantor.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Notes</w:t>
      </w:r>
    </w:p>
    <w:p>
      <w:pPr>
        <w:spacing w:after="0" w:line="22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March 4, 2024, the Notes Issuer issued in an SEC-registered offering $400.0 million aggregate principal amount of Fixed-Rate Junior Subordinated Notes due 2064. The Subordinated Notes bear interest at a rate of 6.950% per annum, which is payable quarterly in arrears on March 15, June 15, September 15 and December 15 of each year, beginning on June 15, 2024, subject to the Notes Issuer’s right, on one or more occasions, to defer interest payments for up to five consecutive years. The Subordinated Notes are unsecured, subordinated, and fully guaranteed by the Guarantors. The Subordinated Notes will mature on March 15, 2064, unless earlier accelerated, redeemed or repurchased. The Subordinated Notes may be redeemed at the Notes Issuer’s option (i) in whole at any time or in part from time to time on or after March 15, 2029 at a redemption price equal to their principal amount plus any accrued and unpaid interest, (ii) upon occurrence of a Tax Redemption Event, as defined in the Subordinated Notes’ First Supplemental Indenture, at a price equal to 100% of their principal amount plus any accrued and unpaid interest or (iii) in whole, but not in part, at any time prior to March 15, 2029, upon the occurrence of a Rating Agency Event, as defined in the Subordinated Notes’ First Supplemental Indenture, at a price equal to 102% of their principal amount plus any accrued and unpaid interest. The Subordinated Notes contain certain covenants as set forth in the Subordinated Notes’ Indenture and First Supplemental Indenture, which, subject to certain limitations, restrict the ability of the Notes Issuer and, as applicable, the Guarantors to merge, consolidate or sell, assign, transfer, lease or convey all or substantially all of their combined assets, or create liens on the voting stock of their subsidiaries.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payment of the principal of, premium, if any, and interest on the Subordinated Notes and the payment of any Subordinated Notes guarantee will:</w:t>
      </w:r>
    </w:p>
    <w:p>
      <w:pPr>
        <w:spacing w:after="0" w:line="225" w:lineRule="exact"/>
        <w:rPr>
          <w:sz w:val="20"/>
          <w:szCs w:val="20"/>
          <w:color w:val="auto"/>
        </w:rPr>
      </w:pPr>
    </w:p>
    <w:p>
      <w:pPr>
        <w:ind w:left="980" w:hanging="486"/>
        <w:spacing w:after="0" w:line="282" w:lineRule="auto"/>
        <w:tabs>
          <w:tab w:leader="none" w:pos="9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subordinate and rank junior in right of payment to all existing and future senior indebtedness, including indebtedness under the Senior Unsecured Revolving Credit Facility;</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in right of payment with all existing and future parity indebtedness;</w:t>
      </w:r>
    </w:p>
    <w:p>
      <w:pPr>
        <w:spacing w:after="0" w:line="225" w:lineRule="exact"/>
        <w:rPr>
          <w:rFonts w:ascii="Times New Roman" w:cs="Times New Roman" w:eastAsia="Times New Roman" w:hAnsi="Times New Roman"/>
          <w:sz w:val="18"/>
          <w:szCs w:val="18"/>
          <w:color w:val="auto"/>
        </w:rPr>
      </w:pPr>
    </w:p>
    <w:p>
      <w:pPr>
        <w:ind w:left="980" w:right="240" w:hanging="486"/>
        <w:spacing w:after="0" w:line="282" w:lineRule="auto"/>
        <w:tabs>
          <w:tab w:leader="none" w:pos="9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effectively subordinated to all existing and future secured indebtedness of the Notes Issuer or the relevant Guarantor, to the extent of the value of the assets securing such indebtedness; and</w:t>
      </w:r>
    </w:p>
    <w:p>
      <w:pPr>
        <w:spacing w:after="0" w:line="161" w:lineRule="exact"/>
        <w:rPr>
          <w:rFonts w:ascii="Times New Roman" w:cs="Times New Roman" w:eastAsia="Times New Roman" w:hAnsi="Times New Roman"/>
          <w:sz w:val="18"/>
          <w:szCs w:val="18"/>
          <w:color w:val="auto"/>
        </w:rPr>
      </w:pPr>
    </w:p>
    <w:p>
      <w:pPr>
        <w:jc w:val="both"/>
        <w:ind w:left="980" w:right="40" w:hanging="486"/>
        <w:spacing w:after="0" w:line="312" w:lineRule="auto"/>
        <w:tabs>
          <w:tab w:leader="none" w:pos="97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effectively subordinated in right of payment to all existing and future indebtedness, liabilities and other obligations (including policyholder liabilities and other payables) of each subsidiary of the Notes Issuer or the relevant Guarantor that is not itself the Notes Issuer or a Guarantor.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Secured Notes</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of September 30, 2026, we had $250.0 million aggregate principal amount of Secured Notes outstanding. Issued through on-balance sheet securitization vehicles, these Secured Notes are repaid solely from collections on underlying equity method investments and restricted cash. The Secured Notes consist of two tranches, both of which mature in June 2038, with interest payable semiannually: (i) Tranche A Secured Notes, issued in May 2018 at a fixed rate of 5.33%, with an aggregate principal balance of $200.0 million and (ii) Tranche B Secured Notes, issued in October 2019 at a fixed rate of 4.75%, with an aggregate principal balance of $50.0 million. The Secured Notes contain an optional redemption feature giving us the right to call the notes in full or in part. If the Secured Notes are not redeemed by June 20, 2028, the interest rate will increase by 4.00% per annum.</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Secured Notes contain customary covenants and conditions, including negative pledge provisions, default provisions and financial covenants and limitations on certain consolidations, mergers and sales of assets. As of September 30, 2026, we were in compliance with these covenants and conditions.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Credit Facility</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August 2014, one of our consolidated subsidiaries entered into two subordinated revolving credit facilities with a total commitment of $30.0 million. The Subordinated Credit Facility is guaranteed by certain members of TPG Operating Group. In July 2026, the subsidiary extended the Subordinated Credit Facility's maturity date from August 2027 to August 2028. Borrowings bear interest at Term Secured Overnight Financing Rate (“SOFR”) plus a 0.10% per annum adjustment and 2.25%.</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the subsidiary did not borrow or make repayments on the Subordinated Credit Facility, resulting in no amounts outstanding as of September 30, 2026.</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364-Day Credit Facility</w:t>
      </w:r>
    </w:p>
    <w:p>
      <w:pPr>
        <w:spacing w:after="0" w:line="22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April 14, 2023, a consolidated subsidiary of the Company entered into a 364-day revolving credit facility with Mizuho Bank, Ltd., acting as administrative agent, to provide the subsidiary with revolving borrowings of up to $150.0 million. As currently amended, the 364-Day Credit Facility has revolving commitments in an aggregate principal amount of $300.0 million, with a maturity date of April 7, 2027. Borrowings under the 364-Day Credit Facility bear one of three interest rates depending on the type of drawdown requested. Alternate Base Rate (“ABR”) loans are denominated in U.S. Dollars and subject to a variable interest rate computed daily as the higher of the Federal Funds Rate plus 0.50% or the one-month Term SOFR plus 1.00%, plus an applicable margin of between 1.00% and 2.00%, depending on the loan term. Term Benchmark loans may be denominated in U.S. Dollars or Euros, and are subject to a fixed interest rate based on SOFR for a period comparable to the term of the loan in effect two business days prior to the date of borrowing, plus an applicable margin of between 2.00% and 3.00% depending on the loan term. Risk-Free Rate (“RFR”) loans are denominated in Sterling and subject to a fixed interest rate computed daily as the Sterling Overnight Index Average (“SONIA”) in effect five business days prior to the date of borrowing, plus an applicable margin of between 2.00% and 3.00%, depending on the loan term. The subsidiary is also required to pay a quarterly facility fee equal to 0.30% per annum of the $300.0 million total facility capacity, as well as certain customary fees for any issued loans.</w:t>
      </w:r>
    </w:p>
    <w:p>
      <w:pPr>
        <w:spacing w:after="0" w:line="2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connection with the facility, the Company entered into an equity commitment letter, committing to provide capital contributions, if and when required, to the subsidiary throughout the life of the facility.</w:t>
      </w:r>
    </w:p>
    <w:p>
      <w:pPr>
        <w:spacing w:after="0" w:line="16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the subsidiary borrowed $206.0 million and made repayments of $146.0 million on the 364-Day Credit Facility, resulting in $60.0 million outstanding as of September 30,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Liquidity Needs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expect that our primary liquidity needs include cash required to:</w:t>
      </w:r>
    </w:p>
    <w:p>
      <w:pPr>
        <w:spacing w:after="0" w:line="225" w:lineRule="exact"/>
        <w:rPr>
          <w:sz w:val="20"/>
          <w:szCs w:val="20"/>
          <w:color w:val="auto"/>
        </w:rPr>
      </w:pPr>
    </w:p>
    <w:p>
      <w:pPr>
        <w:ind w:left="980" w:hanging="486"/>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our working capital needs;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cash operating expenses, including compensation and contingencies, including for clawback obligations or litigation matters;</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debt obligations, including the payment of obligations at maturity, on interest payment dates or upon redemption, as well as any contingent liabilities that may give rise to future cash payments;</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growing our businesses, including seeding new strategies, pursuing strategic investments or acquisitions, funding our capital commitments made to existing and future funds and co-investments, meeting any net capital requirements of our broker-dealer or funding obligations of our capital markets business and otherwise supporting investment vehicles that we sponsor;</w:t>
      </w:r>
    </w:p>
    <w:p>
      <w:pPr>
        <w:spacing w:after="0" w:line="17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amounts that may become due under the Tax Receivable Agreement;</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earnouts and contingent cash consideration associated with our acquisitions;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cash dividends in accordance with our dividend policy for our Class A common stock;</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warehouse investments or seed portfolios for the benefit of one or more of our funds or other investment vehicles pending the expected contribution of committed capital by the investors in such vehicles and advance capital to them for other operational needs;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risk retention for CLOs;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capital needs of regulated and other subsidiaries, including our broker-dealer;</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tax withholding obligations in connection with net share settlements of equity-based awards; and</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Common Units pursuant to the Exchange Agreement or repurchase or redeem other securities issued by us.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1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we enter into contractual arrangements that require future cash payments. The following table sets forth information regarding our anticipated future cash payments under our contractual obligations as of September 30, 2026 (in thousands):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Pr>
          <w:p>
            <w:pPr>
              <w:spacing w:after="0"/>
              <w:rPr>
                <w:sz w:val="13"/>
                <w:szCs w:val="13"/>
                <w:color w:val="auto"/>
              </w:rPr>
            </w:pPr>
          </w:p>
        </w:tc>
        <w:tc>
          <w:tcPr>
            <w:tcW w:w="86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2030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172"/>
              <w:spacing w:after="0" w:line="158" w:lineRule="exact"/>
              <w:rPr>
                <w:sz w:val="20"/>
                <w:szCs w:val="20"/>
                <w:color w:val="auto"/>
              </w:rPr>
            </w:pPr>
            <w:r>
              <w:rPr>
                <w:rFonts w:ascii="Times New Roman" w:cs="Times New Roman" w:eastAsia="Times New Roman" w:hAnsi="Times New Roman"/>
                <w:sz w:val="16"/>
                <w:szCs w:val="16"/>
                <w:b w:val="1"/>
                <w:bCs w:val="1"/>
                <w:color w:val="auto"/>
              </w:rPr>
              <w:t>2031 and</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0" w:type="dxa"/>
            <w:vAlign w:val="bottom"/>
          </w:tcPr>
          <w:p>
            <w:pPr>
              <w:spacing w:after="0"/>
              <w:rPr>
                <w:sz w:val="1"/>
                <w:szCs w:val="1"/>
                <w:color w:val="auto"/>
              </w:rPr>
            </w:pPr>
          </w:p>
        </w:tc>
      </w:tr>
      <w:tr>
        <w:trPr>
          <w:trHeight w:val="223"/>
        </w:trPr>
        <w:tc>
          <w:tcPr>
            <w:tcW w:w="272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Debt obligations</w:t>
            </w:r>
            <w:r>
              <w:rPr>
                <w:rFonts w:ascii="Times New Roman" w:cs="Times New Roman" w:eastAsia="Times New Roman" w:hAnsi="Times New Roman"/>
                <w:sz w:val="23"/>
                <w:szCs w:val="23"/>
                <w:color w:val="auto"/>
                <w:vertAlign w:val="superscript"/>
              </w:rPr>
              <w:t>(1)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Interest on debt obligations</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1,959,226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134,835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1,381,737</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Capital commitments</w:t>
            </w:r>
            <w:r>
              <w:rPr>
                <w:rFonts w:ascii="Times New Roman" w:cs="Times New Roman" w:eastAsia="Times New Roman" w:hAnsi="Times New Roman"/>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3"/>
                <w:szCs w:val="23"/>
                <w:color w:val="auto"/>
                <w:vertAlign w:val="superscript"/>
              </w:rPr>
              <w:t>(4)</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963,570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83,241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641,208</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agreements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5,968,619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705,096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302,431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251,675</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220,721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215,751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4,272,945</w:t>
            </w:r>
          </w:p>
        </w:tc>
        <w:tc>
          <w:tcPr>
            <w:tcW w:w="0" w:type="dxa"/>
            <w:vAlign w:val="bottom"/>
          </w:tcPr>
          <w:p>
            <w:pPr>
              <w:spacing w:after="0"/>
              <w:rPr>
                <w:sz w:val="1"/>
                <w:szCs w:val="1"/>
                <w:color w:val="auto"/>
              </w:rPr>
            </w:pPr>
          </w:p>
        </w:tc>
      </w:tr>
      <w:tr>
        <w:trPr>
          <w:trHeight w:val="21"/>
        </w:trPr>
        <w:tc>
          <w:tcPr>
            <w:tcW w:w="2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9" w:lineRule="exact"/>
        <w:rPr>
          <w:sz w:val="20"/>
          <w:szCs w:val="20"/>
          <w:color w:val="auto"/>
        </w:rPr>
      </w:pPr>
    </w:p>
    <w:p>
      <w:pPr>
        <w:ind w:left="480" w:hanging="472"/>
        <w:spacing w:after="0"/>
        <w:tabs>
          <w:tab w:leader="none" w:pos="4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obligations presented in the table reflect scheduled principal payments related to the Senior Notes, Subordinated Notes, Secured Notes and the 364-Day Revolving Credit Facility.</w:t>
      </w:r>
    </w:p>
    <w:p>
      <w:pPr>
        <w:spacing w:after="0" w:line="68" w:lineRule="exact"/>
        <w:rPr>
          <w:rFonts w:ascii="Times New Roman" w:cs="Times New Roman" w:eastAsia="Times New Roman" w:hAnsi="Times New Roman"/>
          <w:sz w:val="14"/>
          <w:szCs w:val="14"/>
          <w:color w:val="auto"/>
        </w:rPr>
      </w:pPr>
    </w:p>
    <w:p>
      <w:pPr>
        <w:ind w:left="500" w:hanging="492"/>
        <w:spacing w:after="0" w:line="291" w:lineRule="auto"/>
        <w:tabs>
          <w:tab w:leader="none" w:pos="49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interest payments on our debt obligations include estimated future interest payments based on the terms of the debt agreements. See Note 8 to the Condensed Consolidated Financial Statements for further discussion of these debt obligations.</w:t>
      </w:r>
    </w:p>
    <w:p>
      <w:pPr>
        <w:spacing w:after="0" w:line="1" w:lineRule="exact"/>
        <w:rPr>
          <w:rFonts w:ascii="Times New Roman" w:cs="Times New Roman" w:eastAsia="Times New Roman" w:hAnsi="Times New Roman"/>
          <w:sz w:val="14"/>
          <w:szCs w:val="14"/>
          <w:color w:val="auto"/>
        </w:rPr>
      </w:pPr>
    </w:p>
    <w:p>
      <w:pPr>
        <w:jc w:val="both"/>
        <w:ind w:left="500" w:hanging="492"/>
        <w:spacing w:after="0" w:line="295" w:lineRule="auto"/>
        <w:tabs>
          <w:tab w:leader="none" w:pos="49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commitments represent our obligations to provide general partner capital funding to the TPG funds. These amounts are generally due on demand, and accordingly, have been presented as obligations payable in the “2026” column. We generally utilize proceeds from return of capital distributions and proceeds from our Secured Notes to help fund these commitments.</w:t>
      </w:r>
    </w:p>
    <w:p>
      <w:pPr>
        <w:spacing w:after="0" w:line="184"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tenant improvement allowances. Operating lease cash flows for 2026 include a net inflow resulting from expected tenant improvement allowance receipts.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Contingent Obligations</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of September 30, 2026 and December 31, 2025, if all investments held by the TPG funds were liquidated at their current unrealized fair value, there would be clawback of $4.2 million and $7.9 million, respectively, primarily related to Asia V, for which a performance allocation reserve was recorded within other liabilities in the Condensed Consolidated Statements of Financial Condition. During the nine months ended September 30, 2026, the general partners made no payments on the clawback liability. Additionally, if all remaining investments were deemed worthless, a possibility management views as remote, the amount of performance allocations subject to potential clawback as of September 30, 2026 and December 31, 2025 would be $2,608.7 million and $2,456.5 million, respectively.</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we had guarantees outstanding totaling $172.4 million and $168.4 million, respectively, related to a third-party lending program that enables certain of our eligible employees to obtain financing for capital contributions into TPG funds with a maximum potential exposure of $378.2 million and $348.7 million,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table below presents information regarding the quarterly dividends on the Class A common stock, which were made at the sole discretion of our Executive Committee and Board of Directors.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Date Declared</w:t>
            </w:r>
          </w:p>
        </w:tc>
        <w:tc>
          <w:tcPr>
            <w:tcW w:w="2840" w:type="dxa"/>
            <w:vAlign w:val="bottom"/>
            <w:gridSpan w:val="2"/>
          </w:tcPr>
          <w:p>
            <w:pPr>
              <w:ind w:left="94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2840" w:type="dxa"/>
            <w:vAlign w:val="bottom"/>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Dividend per Class A Common Share</w:t>
            </w:r>
          </w:p>
        </w:tc>
        <w:tc>
          <w:tcPr>
            <w:tcW w:w="0" w:type="dxa"/>
            <w:vAlign w:val="bottom"/>
          </w:tcPr>
          <w:p>
            <w:pPr>
              <w:spacing w:after="0"/>
              <w:rPr>
                <w:sz w:val="1"/>
                <w:szCs w:val="1"/>
                <w:color w:val="auto"/>
              </w:rPr>
            </w:pPr>
          </w:p>
        </w:tc>
      </w:tr>
      <w:tr>
        <w:trPr>
          <w:trHeight w:val="226"/>
        </w:trPr>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7, 2025</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19, 2025</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 2025</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3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6, 2025</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18, 2025</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 2025</w:t>
            </w:r>
          </w:p>
        </w:tc>
        <w:tc>
          <w:tcPr>
            <w:tcW w:w="120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29"/>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4, 2025</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14, 2025</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2025</w:t>
            </w:r>
          </w:p>
        </w:tc>
        <w:tc>
          <w:tcPr>
            <w:tcW w:w="1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February 5, 2026</w:t>
            </w:r>
          </w:p>
        </w:tc>
        <w:tc>
          <w:tcPr>
            <w:tcW w:w="2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February 19, 2026</w:t>
            </w:r>
          </w:p>
        </w:tc>
        <w:tc>
          <w:tcPr>
            <w:tcW w:w="2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March 5, 2026</w:t>
            </w:r>
          </w:p>
        </w:tc>
        <w:tc>
          <w:tcPr>
            <w:tcW w:w="1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156"/>
        </w:trPr>
        <w:tc>
          <w:tcPr>
            <w:tcW w:w="2820" w:type="dxa"/>
            <w:vAlign w:val="bottom"/>
            <w:gridSpan w:val="2"/>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b w:val="1"/>
                <w:bCs w:val="1"/>
                <w:color w:val="auto"/>
              </w:rPr>
              <w:t>Total 2025 Dividend Year</w:t>
            </w:r>
          </w:p>
        </w:tc>
        <w:tc>
          <w:tcPr>
            <w:tcW w:w="2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6"/>
        </w:trPr>
        <w:tc>
          <w:tcPr>
            <w:tcW w:w="2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(through Q4 2025)</w:t>
            </w:r>
          </w:p>
        </w:tc>
        <w:tc>
          <w:tcPr>
            <w:tcW w:w="2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5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 2026</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11, 2026</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26, 2026</w:t>
            </w:r>
          </w:p>
        </w:tc>
        <w:tc>
          <w:tcPr>
            <w:tcW w:w="120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29"/>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4, 2026</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14, 2026</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28, 2026</w:t>
            </w:r>
          </w:p>
        </w:tc>
        <w:tc>
          <w:tcPr>
            <w:tcW w:w="1200" w:type="dxa"/>
            <w:vAlign w:val="bottom"/>
          </w:tcPr>
          <w:p>
            <w:pPr>
              <w:spacing w:after="0"/>
              <w:rPr>
                <w:sz w:val="19"/>
                <w:szCs w:val="19"/>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29, 2026</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9, 2026</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23, 2026</w:t>
            </w:r>
          </w:p>
        </w:tc>
        <w:tc>
          <w:tcPr>
            <w:tcW w:w="1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155"/>
        </w:trPr>
        <w:tc>
          <w:tcPr>
            <w:tcW w:w="2820" w:type="dxa"/>
            <w:vAlign w:val="bottom"/>
            <w:gridSpan w:val="2"/>
          </w:tcPr>
          <w:p>
            <w:pPr>
              <w:ind w:left="140"/>
              <w:spacing w:after="0" w:line="156" w:lineRule="exact"/>
              <w:rPr>
                <w:sz w:val="20"/>
                <w:szCs w:val="20"/>
                <w:color w:val="auto"/>
              </w:rPr>
            </w:pPr>
            <w:r>
              <w:rPr>
                <w:rFonts w:ascii="Times New Roman" w:cs="Times New Roman" w:eastAsia="Times New Roman" w:hAnsi="Times New Roman"/>
                <w:sz w:val="18"/>
                <w:szCs w:val="18"/>
                <w:b w:val="1"/>
                <w:bCs w:val="1"/>
                <w:color w:val="auto"/>
              </w:rPr>
              <w:t>Total 2026 Dividend Year</w:t>
            </w: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vMerge w:val="restart"/>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1"/>
        </w:trPr>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(through Q3 2026)</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future exchanges by owners of Common Units for cash from a substantially concurrent public offering, reorganization or private sale (based on the price per share of the Class A common stock on the day before the pricing of such public offering or private sale) or, at our election, for shares of our Class A common stock on a one-for-one basis (or, in certain cases, for shares of nonvoting Class A common stock) are expected to produce or otherwise deliver to us favorable tax attributes that can reduce our taxable income. We (and our wholly-owned subsidiaries) are a party to a tax receivable agreement, under which generally we (or our wholly-owned subsidiaries) are required to pay the beneficiaries of the Tax Receivable Agreement 85% of the applicable cash savings, if any, in U.S. federal, state and local income tax that we actually realize or, in certain circumstances, are deemed to realize as a result of the Covered Tax Items. We generally retain the benefit of the remaining 15% of the applicable tax savings. The payment obligations under the Tax Receivable Agreement are obligations of TPG Inc. (or our wholly-owned subsidiaries), and we expect that the payments we will be required to make under the Tax Receivable Agreement will be substantial.</w:t>
      </w:r>
    </w:p>
    <w:p>
      <w:pPr>
        <w:spacing w:after="0" w:line="18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Pursuant to the Exchange Agreement, certain holders of Common Units, including certain partners and employees, are authorized to exchange Common Units for an equal number of shares of Class A common stock. During the years ended December 31, 2025 and 2024, certain holders of Common Units exchanged Common Units for an equal number of shares of Class A common stock resulting in the issuance of shares of Class A common stock and the cancellation of an equal number of shares of Class B common stock for no additional consideration. Such issuances of shares of Class A common stock to such holders of Common Units were registered pursuant to the Company’s registration statements on Form S-3 filed on November 2, 2023 and September 13, 2024. For the periods ended September 30, 2026 and December 31, 2025, the following Common Units were exchanged for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60" w:type="dxa"/>
            <w:vAlign w:val="bottom"/>
            <w:gridSpan w:val="2"/>
          </w:tcPr>
          <w:p>
            <w:pPr>
              <w:ind w:left="3660"/>
              <w:spacing w:after="0"/>
              <w:rPr>
                <w:sz w:val="20"/>
                <w:szCs w:val="20"/>
                <w:color w:val="auto"/>
              </w:rPr>
            </w:pPr>
            <w:r>
              <w:rPr>
                <w:rFonts w:ascii="Times New Roman" w:cs="Times New Roman" w:eastAsia="Times New Roman" w:hAnsi="Times New Roman"/>
                <w:sz w:val="16"/>
                <w:szCs w:val="16"/>
                <w:b w:val="1"/>
                <w:bCs w:val="1"/>
                <w:color w:val="auto"/>
              </w:rPr>
              <w:t>Exchange Date</w:t>
            </w:r>
          </w:p>
        </w:tc>
        <w:tc>
          <w:tcPr>
            <w:tcW w:w="278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Class A Common Stock Issued</w:t>
            </w:r>
          </w:p>
        </w:tc>
      </w:tr>
      <w:tr>
        <w:trPr>
          <w:trHeight w:val="226"/>
        </w:trPr>
        <w:tc>
          <w:tcPr>
            <w:tcW w:w="8360" w:type="dxa"/>
            <w:vAlign w:val="bottom"/>
            <w:tcBorders>
              <w:top w:val="single" w:sz="8" w:color="auto"/>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b w:val="1"/>
                <w:bCs w:val="1"/>
                <w:color w:val="auto"/>
              </w:rPr>
              <w:t>2025 Exchanges</w:t>
            </w:r>
            <w:r>
              <w:rPr>
                <w:rFonts w:ascii="Times New Roman" w:cs="Times New Roman" w:eastAsia="Times New Roman" w:hAnsi="Times New Roman"/>
                <w:sz w:val="23"/>
                <w:szCs w:val="23"/>
                <w:b w:val="1"/>
                <w:bCs w:val="1"/>
                <w:color w:val="auto"/>
                <w:vertAlign w:val="superscript"/>
              </w:rPr>
              <w:t>(a)</w:t>
            </w:r>
          </w:p>
        </w:tc>
        <w:tc>
          <w:tcPr>
            <w:tcW w:w="10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spacing w:after="0"/>
              <w:rPr>
                <w:sz w:val="19"/>
                <w:szCs w:val="19"/>
                <w:color w:val="auto"/>
              </w:rPr>
            </w:pPr>
          </w:p>
        </w:tc>
      </w:tr>
      <w:tr>
        <w:trPr>
          <w:trHeight w:val="229"/>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February 24, 2025</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9,786,354</w:t>
            </w:r>
          </w:p>
        </w:tc>
      </w:tr>
      <w:tr>
        <w:trPr>
          <w:trHeight w:val="229"/>
        </w:trPr>
        <w:tc>
          <w:tcPr>
            <w:tcW w:w="8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May 21, 2025</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21,000,000</w:t>
            </w:r>
          </w:p>
        </w:tc>
      </w:tr>
      <w:tr>
        <w:trPr>
          <w:trHeight w:val="230"/>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August 19, 2025</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5,153,040</w:t>
            </w:r>
          </w:p>
        </w:tc>
      </w:tr>
      <w:tr>
        <w:trPr>
          <w:trHeight w:val="257"/>
        </w:trPr>
        <w:tc>
          <w:tcPr>
            <w:tcW w:w="8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780" w:type="dxa"/>
            <w:vAlign w:val="bottom"/>
            <w:shd w:val="clear" w:color="auto" w:fill="CCEEFF"/>
          </w:tcPr>
          <w:p>
            <w:pPr>
              <w:spacing w:after="0"/>
              <w:rPr>
                <w:sz w:val="22"/>
                <w:szCs w:val="22"/>
                <w:color w:val="auto"/>
              </w:rPr>
            </w:pPr>
          </w:p>
        </w:tc>
      </w:tr>
      <w:tr>
        <w:trPr>
          <w:trHeight w:val="229"/>
        </w:trPr>
        <w:tc>
          <w:tcPr>
            <w:tcW w:w="84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2026 Exchange</w:t>
            </w:r>
            <w:r>
              <w:rPr>
                <w:rFonts w:ascii="Times New Roman" w:cs="Times New Roman" w:eastAsia="Times New Roman" w:hAnsi="Times New Roman"/>
                <w:sz w:val="23"/>
                <w:szCs w:val="23"/>
                <w:b w:val="1"/>
                <w:bCs w:val="1"/>
                <w:color w:val="auto"/>
                <w:vertAlign w:val="superscript"/>
              </w:rPr>
              <w:t>(a)</w:t>
            </w:r>
          </w:p>
        </w:tc>
        <w:tc>
          <w:tcPr>
            <w:tcW w:w="2780" w:type="dxa"/>
            <w:vAlign w:val="bottom"/>
          </w:tcPr>
          <w:p>
            <w:pPr>
              <w:spacing w:after="0"/>
              <w:rPr>
                <w:sz w:val="19"/>
                <w:szCs w:val="19"/>
                <w:color w:val="auto"/>
              </w:rPr>
            </w:pPr>
          </w:p>
        </w:tc>
      </w:tr>
      <w:tr>
        <w:trPr>
          <w:trHeight w:val="229"/>
        </w:trPr>
        <w:tc>
          <w:tcPr>
            <w:tcW w:w="8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May 15, 2026</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6,042,619</w:t>
            </w:r>
          </w:p>
        </w:tc>
      </w:tr>
      <w:tr>
        <w:trPr>
          <w:trHeight w:val="234"/>
        </w:trPr>
        <w:tc>
          <w:tcPr>
            <w:tcW w:w="8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August 17, 2026</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6,960,798</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59" w:lineRule="exact"/>
        <w:rPr>
          <w:sz w:val="20"/>
          <w:szCs w:val="20"/>
          <w:color w:val="auto"/>
        </w:rPr>
      </w:pPr>
    </w:p>
    <w:p>
      <w:pPr>
        <w:ind w:left="500" w:right="20" w:hanging="492"/>
        <w:spacing w:after="0" w:line="282" w:lineRule="auto"/>
        <w:tabs>
          <w:tab w:leader="none" w:pos="497"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issuances of shares of Class A common stock to such holders of Common Units were registered pursuant to the Company’s registration statements on Form S-3 filed on November 2, 2023 and September 13, 2024.</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These exchanges resulted in an increase in the tax basis of our investment in the TPG Operating Group and are subject to the Tax Receivable Agreement. During the nine months ended September 30, 2026, the Company made payments of $29.9 million in connection with the liability associated with the Tax Receivable Agreement. A portion of this liability is attributed to Related Parties and is recorded in due to affiliates and the remaining portion attributable to non-affiliates is recorded in other liabilities. As of September 30, 2026 and December 31, 2025, the portion included in due to affiliates in the Condensed Consolidated Statements of Financial Condition, was $583.3 million and $495.1 million, respectively. As of September 30, 2026 and December 31, 2025, amounts due to non-affiliates included in other liabilities were $354.7 million and $316.5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Flows</w:t>
      </w:r>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a summary of our cash flows for the periods presented:</w:t>
      </w: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3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820" w:type="dxa"/>
            <w:vAlign w:val="bottom"/>
            <w:tcBorders>
              <w:bottom w:val="single" w:sz="8" w:color="auto"/>
            </w:tcBorders>
          </w:tcPr>
          <w:p>
            <w:pPr>
              <w:spacing w:after="0"/>
              <w:rPr>
                <w:sz w:val="18"/>
                <w:szCs w:val="18"/>
                <w:color w:val="auto"/>
              </w:rPr>
            </w:pPr>
          </w:p>
        </w:tc>
      </w:tr>
      <w:tr>
        <w:trPr>
          <w:trHeight w:val="211"/>
        </w:trPr>
        <w:tc>
          <w:tcPr>
            <w:tcW w:w="70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20" w:type="dxa"/>
            <w:vAlign w:val="bottom"/>
            <w:tcBorders>
              <w:bottom w:val="single" w:sz="8" w:color="auto"/>
            </w:tcBorders>
          </w:tcPr>
          <w:p>
            <w:pPr>
              <w:spacing w:after="0"/>
              <w:rPr>
                <w:sz w:val="18"/>
                <w:szCs w:val="18"/>
                <w:color w:val="auto"/>
              </w:rPr>
            </w:pPr>
          </w:p>
        </w:tc>
      </w:tr>
      <w:tr>
        <w:trPr>
          <w:trHeight w:val="249"/>
        </w:trPr>
        <w:tc>
          <w:tcPr>
            <w:tcW w:w="70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820" w:type="dxa"/>
            <w:vAlign w:val="bottom"/>
            <w:tcBorders>
              <w:bottom w:val="single" w:sz="8" w:color="auto"/>
            </w:tcBorders>
          </w:tcPr>
          <w:p>
            <w:pPr>
              <w:spacing w:after="0"/>
              <w:rPr>
                <w:sz w:val="21"/>
                <w:szCs w:val="21"/>
                <w:color w:val="auto"/>
              </w:rPr>
            </w:pPr>
          </w:p>
        </w:tc>
      </w:tr>
      <w:tr>
        <w:trPr>
          <w:trHeight w:val="22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60" w:type="dxa"/>
            <w:vAlign w:val="bottom"/>
            <w:shd w:val="clear" w:color="auto" w:fill="CCEEFF"/>
          </w:tcPr>
          <w:p>
            <w:pPr>
              <w:jc w:val="right"/>
              <w:ind w:right="105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772,786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1,076,098</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(579,894)</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(254,634)</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(219,007)</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(549,069)</w:t>
            </w:r>
          </w:p>
        </w:tc>
      </w:tr>
      <w:tr>
        <w:trPr>
          <w:trHeight w:val="223"/>
        </w:trPr>
        <w:tc>
          <w:tcPr>
            <w:tcW w:w="7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260" w:type="dxa"/>
            <w:vAlign w:val="bottom"/>
            <w:tcBorders>
              <w:bottom w:val="single" w:sz="8" w:color="auto"/>
            </w:tcBorders>
          </w:tcPr>
          <w:p>
            <w:pPr>
              <w:jc w:val="right"/>
              <w:ind w:right="105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260" w:type="dxa"/>
            <w:vAlign w:val="bottom"/>
            <w:shd w:val="clear" w:color="auto" w:fill="CCEEFF"/>
          </w:tcPr>
          <w:p>
            <w:pPr>
              <w:jc w:val="right"/>
              <w:ind w:right="105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272,395</w:t>
            </w:r>
          </w:p>
        </w:tc>
      </w:tr>
      <w:tr>
        <w:trPr>
          <w:trHeight w:val="23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839,271</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821,192</w:t>
            </w: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260" w:type="dxa"/>
            <w:vAlign w:val="bottom"/>
            <w:tcBorders>
              <w:bottom w:val="single" w:sz="8" w:color="auto"/>
            </w:tcBorders>
            <w:shd w:val="clear" w:color="auto" w:fill="CCEEFF"/>
          </w:tcPr>
          <w:p>
            <w:pPr>
              <w:jc w:val="right"/>
              <w:ind w:right="105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813,036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1,093,587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$772.8 million and $1,076.1 million for the nine months ended September 30, 2026 and 2025, respectively. Key drivers consisted of performance allocation and investment proceeds totaling $1,092.1 million, partially offset by purchases of investments of $706.5 million, as well as other changes in operating assets and liabilities during the nine months ended September 30, 2026. Cash provided by operating activities consisted of performance allocation and investment proceeds totaling $1,660.8 million, partially offset by other changes in operating assets and liabilities for the nine months ended September 30,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totaled $579.9 million and $254.6 million during the nine months ended September 30, 2026 and 2025, respectively. Cash used in investing activities was primarily related to the purchase of Jackson common stock as described in Note 4 to the Condensed Consolidated Financial Statements and purchases of fixed assets. Cash used in investing activities during the nine months ended September 30, 2025 was primarily related to the acquisition of Peppertree, which we completed in July 2025, and purchases of fixed assets.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Net cash used in financing activities was $219.0 million and $549.1 million for the nine months ended September 30, 2026 and 2025, respectively. During the nine months ended September 30, 2026, cash used by financing activities was primarily driven by payments of dividends and distributions to our Class A common stockholders and to holders of non-controlling interests in subsidiaries and withholding taxes paid on net settlement of equity-based awards, partially offset by the issuance of the 2031 Senior Notes in February 2026 and contributions from holders of non-controlling interests. During the nine months ended September 30, 2025, cash used by financing activities was primarily related to the payments of dividends and distributions to our Class A common stockholders and to holders of non-controlling interests in subsidiaries and withholding taxes paid on net settlement of equity-based awards, partially offset by the proceeds from the issuance of the 2036 Senior Notes in August 2025 and proceeds, net of repayment from the Senior Unsecured Revolving Credit Facility.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Guarantor Financial Information</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Subordinated Notes issued by the Notes Issuer are guaranteed on a junior, unsecured basis by the Guarantors, and the Senior Notes issued by the Notes Issuer are guaranteed on a senior, unsecured basis by the Guarantors. As used herein, “Obligor Group” means the Notes Issuer and the Guarantors on a combined basis. The Guarantors fully and unconditionally guarantee payments of principal, premium, if any, and interest (i) on the Subordinated Notes on a subordinated, unsecured basis and (ii) on the Senior Notes on a senior, unsecured basis. See Note 8 of the Condensed Consolidated Financial Statements for further discussion on these debt obligations.</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Obligor Group entities are holding companies in which the primary assets are the ownership interests in certain consolidated subsidiaries. Accordingly, the Obligor Group has no independent means of generating revenue or cash flow, and its ability to service its debt and guarantee obligations depends upon the results of operations and cash flows of its consolidated subsidiaries. As of September 30, 2026 and December 31, 2025, the Obligor Group held investments in its non-guarantor subsidiaries of $4.9 billion and $3.4 billion, respectively, and recognized income from investments in its non-guarantor subsidiaries of $1.3 billion for the nine months ended September 30, 2026. In addition, in connection with any distribution by the consolidated subsidiaries, the Obligor Group would only receive its proportionate share of such distribution.</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following summarized financial information is provided in accordance with the reporting requirements of Rule 13-01 under SEC Regulation S-X for the Obligor Group and is not intended to present the financial position or results of operations of the Obligor Group in accordance with U.S. GAAP. The tables present summarized financial information of the Obligor Group on a combined basis after elimination of intercompany transactions and balances within the Obligor Group as of September 30, 2026 and December 31, 2025 and for the nine months ended September 30, 2026.</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50"/>
        </w:trPr>
        <w:tc>
          <w:tcPr>
            <w:tcW w:w="5220" w:type="dxa"/>
            <w:vAlign w:val="bottom"/>
            <w:tcBorders>
              <w:bottom w:val="single" w:sz="8" w:color="CCEEFF"/>
            </w:tcBorders>
          </w:tcPr>
          <w:p>
            <w:pPr>
              <w:spacing w:after="0"/>
              <w:rPr>
                <w:sz w:val="21"/>
                <w:szCs w:val="21"/>
                <w:color w:val="auto"/>
              </w:rPr>
            </w:pPr>
          </w:p>
        </w:tc>
        <w:tc>
          <w:tcPr>
            <w:tcW w:w="18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980" w:type="dxa"/>
            <w:vAlign w:val="bottom"/>
            <w:tcBorders>
              <w:bottom w:val="single" w:sz="8" w:color="auto"/>
            </w:tcBorders>
            <w:gridSpan w:val="4"/>
          </w:tcPr>
          <w:p>
            <w:pPr>
              <w:jc w:val="right"/>
              <w:ind w:right="1451"/>
              <w:spacing w:after="0"/>
              <w:rPr>
                <w:sz w:val="20"/>
                <w:szCs w:val="20"/>
                <w:color w:val="auto"/>
              </w:rPr>
            </w:pPr>
            <w:r>
              <w:rPr>
                <w:rFonts w:ascii="Times New Roman" w:cs="Times New Roman" w:eastAsia="Times New Roman" w:hAnsi="Times New Roman"/>
                <w:sz w:val="16"/>
                <w:szCs w:val="16"/>
                <w:b w:val="1"/>
                <w:bCs w:val="1"/>
                <w:color w:val="auto"/>
              </w:rPr>
              <w:t>($ in thousands)</w:t>
            </w:r>
          </w:p>
        </w:tc>
      </w:tr>
      <w:tr>
        <w:trPr>
          <w:trHeight w:val="21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Obligor Group Assets and Liabilities</w:t>
            </w: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30"/>
        </w:trPr>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Assets, less receivables from non-guarantor subsidiaries</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1,630,101</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1,250,242</w:t>
            </w:r>
          </w:p>
        </w:tc>
      </w:tr>
      <w:tr>
        <w:trPr>
          <w:trHeight w:val="230"/>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Due from related parties, excluding non-guarantor subsidiaries</w:t>
            </w:r>
          </w:p>
        </w:tc>
        <w:tc>
          <w:tcPr>
            <w:tcW w:w="1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29"/>
        </w:trPr>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Due from non-guarantor subsidiaries</w:t>
            </w: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120,485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157,758</w:t>
            </w:r>
          </w:p>
        </w:tc>
      </w:tr>
      <w:tr>
        <w:trPr>
          <w:trHeight w:val="230"/>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Liabilities, less payables to non-guarantor subsidiaries</w:t>
            </w:r>
          </w:p>
        </w:tc>
        <w:tc>
          <w:tcPr>
            <w:tcW w:w="1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2,459,768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1,964,844</w:t>
            </w:r>
          </w:p>
        </w:tc>
      </w:tr>
      <w:tr>
        <w:trPr>
          <w:trHeight w:val="230"/>
        </w:trPr>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Due to related parties, excluding non-guarantor subsidiaries</w:t>
            </w: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603,464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511,968</w:t>
            </w:r>
          </w:p>
        </w:tc>
      </w:tr>
      <w:tr>
        <w:trPr>
          <w:trHeight w:val="230"/>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Due to non-guarantor subsidiaries</w:t>
            </w:r>
          </w:p>
        </w:tc>
        <w:tc>
          <w:tcPr>
            <w:tcW w:w="1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27,508</w:t>
            </w:r>
          </w:p>
        </w:tc>
      </w:tr>
      <w:tr>
        <w:trPr>
          <w:trHeight w:val="256"/>
        </w:trPr>
        <w:tc>
          <w:tcPr>
            <w:tcW w:w="52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30"/>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Non-controlling interests in Obligor Group Assets and Liabilities</w:t>
            </w:r>
          </w:p>
        </w:tc>
        <w:tc>
          <w:tcPr>
            <w:tcW w:w="1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(708,996)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(633,381)</w:t>
            </w:r>
          </w:p>
        </w:tc>
      </w:tr>
      <w:tr>
        <w:trPr>
          <w:trHeight w:val="905"/>
        </w:trPr>
        <w:tc>
          <w:tcPr>
            <w:tcW w:w="5220" w:type="dxa"/>
            <w:vAlign w:val="bottom"/>
          </w:tcPr>
          <w:p>
            <w:pPr>
              <w:spacing w:after="0"/>
              <w:rPr>
                <w:sz w:val="24"/>
                <w:szCs w:val="24"/>
                <w:color w:val="auto"/>
              </w:rPr>
            </w:pPr>
          </w:p>
        </w:tc>
        <w:tc>
          <w:tcPr>
            <w:tcW w:w="182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9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rPr>
              <w:t>September 30, 2026</w:t>
            </w:r>
          </w:p>
        </w:tc>
      </w:tr>
      <w:tr>
        <w:trPr>
          <w:trHeight w:val="209"/>
        </w:trPr>
        <w:tc>
          <w:tcPr>
            <w:tcW w:w="9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rPr>
              <w:t>($ in thousands)</w:t>
            </w:r>
          </w:p>
        </w:tc>
      </w:tr>
      <w:tr>
        <w:trPr>
          <w:trHeight w:val="211"/>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Obligor Group Revenues, Net Income (Loss) and Non-Controlling Interests</w:t>
            </w: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30"/>
        </w:trPr>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Revenues from Obligor Group</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(6,769)</w:t>
            </w:r>
          </w:p>
        </w:tc>
      </w:tr>
      <w:tr>
        <w:trPr>
          <w:trHeight w:val="229"/>
        </w:trPr>
        <w:tc>
          <w:tcPr>
            <w:tcW w:w="9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 from Obligor Group's revenues and expenses</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(165,121)</w:t>
            </w:r>
          </w:p>
        </w:tc>
      </w:tr>
      <w:tr>
        <w:trPr>
          <w:trHeight w:val="234"/>
        </w:trPr>
        <w:tc>
          <w:tcPr>
            <w:tcW w:w="9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attributable to non-controlling interests associated with Obligor Group's revenues and expenses</w:t>
            </w: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(48,527)</w:t>
            </w:r>
          </w:p>
        </w:tc>
      </w:tr>
      <w:tr>
        <w:trPr>
          <w:trHeight w:val="522"/>
        </w:trPr>
        <w:tc>
          <w:tcPr>
            <w:tcW w:w="9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32"/>
        </w:trPr>
        <w:tc>
          <w:tcPr>
            <w:tcW w:w="9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We have not entered into any off-balance sheet arrangements, as defined in Regulation S-K.</w:t>
            </w: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32"/>
        </w:trPr>
        <w:tc>
          <w:tcPr>
            <w:tcW w:w="9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pacing w:after="0" w:line="19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There has been no material change to our critical accounting estimates disclosed in our Annual Report. We prepare our Condensed Consolidated Financial Statements in accordance with U.S. GAAP. The preparation of financial statements in conformity with U.S. GAAP requires management to make estimates and assumptions that affect the reported amounts of revenues, expenses, assets, and liabilities and disclosure of contingent assets and liabilities in our financial statements. We regularly assess these estimates; however, actual amounts could differ from those estimates. The impact of changes in estimates is recorded in the period in which they become known. For a description of our accounting policies, see Note 2, “Summary of Significant Accounting Policies,” to the Condensed Consolidated Financial Statements included elsewhere in this report and for a discussion of our policies and estimates, see “Item 2.—Management’s Discussion and Analysis of Financial Condition and Results of Operations” in our Annual Report on Form 10-K for the year ended December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exposure to market risks primarily relates to our role as investment advisor or general partner to our TPG funds and the impact of movements in the underlying fair value of their investments. Except for the item disclosed below, there was no material change in our market risks during the three months ended September 30, 2026. For additional information, refer to our Annual Report on Form 10-K for the year ended December 31, 2025.</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Through March 31, 2026, the functional currency of our international subsidiaries was the U.S. dollar. On April 1, 2026, we changed the functional currency of certain of our international subsidiaries from the U.S. dollar to the local currency. The change in the functional currency did not have a material impact on the Condensed Consolidated Financial Statements. See Note 2 of the Condensed Consolidated Financial Statements for further discussion on the change in functional currency.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disclosure controls and procedures (as defined in Exchange Act Rules 13a-15(e) and 15d-15(e)) are designed to ensure that information required to be disclosed by us in reports we file or submit under the Securities Exchange Act of 1934, as amended, is recorded, processed, summarized and reported within the appropriate time periods, and that such information is accumulated and communicated to our management, including our Chief Executive Officer and Chief Financial Officer, as appropriate, to allow timely discussions regarding required disclosure.</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under the supervision of and with participation of our management, including our Chief Executive Officer and Chief Financial Officer, have evaluated the effectiveness of our disclosure controls and procedures. Based on that evaluation, our Chief Executive Officer and Chief Financial Officer concluded that the design and operation of our disclosure controls and procedures were effective as of September 30,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September 30, 2026 that has materially affected, or is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From time to time, we are involved in litigation and claims incidental to the conduct of our business. Our business is also subject to extensive regulation, which may result in regulatory proceedings against us. See “Item 1A.—Risk Factors—Risks Related to Our Industry—Extensive regulation of our businesses affects our activities and creates the potential for significant liabilities and penalties. Increased regulatory focus on the alternative asset industry or legislative or regulatory changes could result in additional burdens and expenses on our business” in our Annual Report. We are not currently subject to any pending legal (including judicial, regulatory, administrative or arbitration) proceedings that we expect to have a material impact on our Condensed Consolidated Financial Statements. However, given the inherent unpredictability of these types of proceedings, an adverse outcome in certain matters could have a material effect on TPG’s financial results in any particular period. See Note 12, “Commitments and Contingencies,” to the Condensed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a discussion of our potential risks and uncertainties, see the information under “Item 1A.––Risk Factors” in our Annual Report on Form 10-K for the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center"/>
        <w:ind w:right="9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920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list of all exhibits filed or furnished as part of this report:</w:t>
      </w:r>
    </w:p>
    <w:p>
      <w:pPr>
        <w:spacing w:after="0" w:line="225"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740" w:type="dxa"/>
            <w:vAlign w:val="bottom"/>
            <w:gridSpan w:val="11"/>
          </w:tcPr>
          <w:p>
            <w:pPr>
              <w:ind w:left="100"/>
              <w:spacing w:after="0"/>
              <w:rPr>
                <w:sz w:val="20"/>
                <w:szCs w:val="20"/>
                <w:color w:val="auto"/>
              </w:rPr>
            </w:pPr>
            <w:r>
              <w:rPr>
                <w:rFonts w:ascii="Times New Roman" w:cs="Times New Roman" w:eastAsia="Times New Roman" w:hAnsi="Times New Roman"/>
                <w:sz w:val="18"/>
                <w:szCs w:val="18"/>
                <w:color w:val="auto"/>
              </w:rPr>
              <w:t>Exhibits are included below.</w:t>
            </w:r>
          </w:p>
        </w:tc>
      </w:tr>
      <w:tr>
        <w:trPr>
          <w:trHeight w:val="257"/>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68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9680" w:type="dxa"/>
            <w:vAlign w:val="bottom"/>
            <w:gridSpan w:val="15"/>
            <w:shd w:val="clear" w:color="auto" w:fill="CCEEFF"/>
          </w:tcPr>
          <w:p>
            <w:pPr>
              <w:spacing w:after="0" w:line="189"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Restated Certificate of Incorporation of TPG Inc. (incorporated by reference to Exhibit 3.1 to the Company’s Current Report on</w:t>
              </w:r>
            </w:hyperlink>
          </w:p>
        </w:tc>
      </w:tr>
      <w:tr>
        <w:trPr>
          <w:trHeight w:val="183"/>
        </w:trPr>
        <w:tc>
          <w:tcPr>
            <w:tcW w:w="1460" w:type="dxa"/>
            <w:vAlign w:val="bottom"/>
            <w:tcBorders>
              <w:top w:val="single" w:sz="8" w:color="CCEEFF"/>
            </w:tcBorders>
            <w:shd w:val="clear" w:color="auto" w:fill="CCEEFF"/>
          </w:tcPr>
          <w:p>
            <w:pPr>
              <w:spacing w:after="0"/>
              <w:rPr>
                <w:sz w:val="15"/>
                <w:szCs w:val="15"/>
                <w:color w:val="auto"/>
              </w:rPr>
            </w:pPr>
          </w:p>
        </w:tc>
        <w:tc>
          <w:tcPr>
            <w:tcW w:w="9600" w:type="dxa"/>
            <w:vAlign w:val="bottom"/>
            <w:tcBorders>
              <w:top w:val="single" w:sz="8" w:color="0000FF"/>
            </w:tcBorders>
            <w:gridSpan w:val="11"/>
            <w:shd w:val="clear" w:color="auto" w:fill="CCEEFF"/>
          </w:tcPr>
          <w:p>
            <w:pPr>
              <w:spacing w:after="0" w:line="182"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Form 8-K, filed on November 13, 2023).</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8"/>
        </w:trPr>
        <w:tc>
          <w:tcPr>
            <w:tcW w:w="146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1000" w:type="dxa"/>
            <w:vAlign w:val="bottom"/>
            <w:tcBorders>
              <w:top w:val="single" w:sz="8" w:color="0000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3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1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9680" w:type="dxa"/>
            <w:vAlign w:val="bottom"/>
            <w:gridSpan w:val="15"/>
          </w:tcPr>
          <w:p>
            <w:pPr>
              <w:spacing w:after="0" w:line="189"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Certificate of Amendment of Restated Certificate of Incorporation of TPG Inc. (incorporated by reference to Exhibit 3.1 to the</w:t>
              </w:r>
            </w:hyperlink>
          </w:p>
        </w:tc>
      </w:tr>
      <w:tr>
        <w:trPr>
          <w:trHeight w:val="182"/>
        </w:trPr>
        <w:tc>
          <w:tcPr>
            <w:tcW w:w="1460" w:type="dxa"/>
            <w:vAlign w:val="bottom"/>
          </w:tcPr>
          <w:p>
            <w:pPr>
              <w:spacing w:after="0"/>
              <w:rPr>
                <w:sz w:val="15"/>
                <w:szCs w:val="15"/>
                <w:color w:val="auto"/>
              </w:rPr>
            </w:pPr>
          </w:p>
        </w:tc>
        <w:tc>
          <w:tcPr>
            <w:tcW w:w="9660" w:type="dxa"/>
            <w:vAlign w:val="bottom"/>
            <w:tcBorders>
              <w:top w:val="single" w:sz="8" w:color="0000FF"/>
            </w:tcBorders>
            <w:gridSpan w:val="14"/>
          </w:tcPr>
          <w:p>
            <w:pPr>
              <w:spacing w:after="0" w:line="182"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Company’s Current Report on Form 8-K, filed on June 6, 2024).</w:t>
              </w:r>
            </w:hyperlink>
          </w:p>
        </w:tc>
        <w:tc>
          <w:tcPr>
            <w:tcW w:w="20" w:type="dxa"/>
            <w:vAlign w:val="bottom"/>
          </w:tcPr>
          <w:p>
            <w:pPr>
              <w:spacing w:after="0"/>
              <w:rPr>
                <w:sz w:val="15"/>
                <w:szCs w:val="15"/>
                <w:color w:val="auto"/>
              </w:rPr>
            </w:pPr>
          </w:p>
        </w:tc>
      </w:tr>
      <w:tr>
        <w:trPr>
          <w:trHeight w:val="48"/>
        </w:trPr>
        <w:tc>
          <w:tcPr>
            <w:tcW w:w="1460" w:type="dxa"/>
            <w:vAlign w:val="bottom"/>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2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9680" w:type="dxa"/>
            <w:vAlign w:val="bottom"/>
            <w:gridSpan w:val="15"/>
            <w:shd w:val="clear" w:color="auto" w:fill="CCEEFF"/>
          </w:tcPr>
          <w:p>
            <w:pPr>
              <w:spacing w:after="0" w:line="189"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Amended and Restated Bylaws of TPG Inc. (incorporated by reference to Exhibit 3.2 to the Company’s Current Report on Form 8-</w:t>
              </w:r>
            </w:hyperlink>
          </w:p>
        </w:tc>
      </w:tr>
      <w:tr>
        <w:trPr>
          <w:trHeight w:val="230"/>
        </w:trPr>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1940" w:type="dxa"/>
            <w:vAlign w:val="bottom"/>
            <w:tcBorders>
              <w:top w:val="single" w:sz="8" w:color="0000FF"/>
              <w:bottom w:val="single" w:sz="8" w:color="0000FF"/>
            </w:tcBorders>
            <w:gridSpan w:val="3"/>
            <w:shd w:val="clear" w:color="auto" w:fill="CCEEFF"/>
          </w:tcPr>
          <w:p>
            <w:pPr>
              <w:spacing w:after="0" w:line="182"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K, filed on June 12, 2023).</w:t>
              </w:r>
            </w:hyperlink>
          </w:p>
        </w:tc>
        <w:tc>
          <w:tcPr>
            <w:tcW w:w="7620" w:type="dxa"/>
            <w:vAlign w:val="bottom"/>
            <w:tcBorders>
              <w:top w:val="single" w:sz="8" w:color="0000FF"/>
              <w:bottom w:val="single" w:sz="8" w:color="CCEEFF"/>
            </w:tcBorders>
            <w:gridSpan w:val="6"/>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189"/>
        </w:trPr>
        <w:tc>
          <w:tcPr>
            <w:tcW w:w="1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22.1*</w:t>
            </w:r>
          </w:p>
        </w:tc>
        <w:tc>
          <w:tcPr>
            <w:tcW w:w="9680" w:type="dxa"/>
            <w:vAlign w:val="bottom"/>
            <w:gridSpan w:val="15"/>
          </w:tcPr>
          <w:p>
            <w:pPr>
              <w:spacing w:after="0" w:line="189"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List of Notes Issuer and Guarantor Subsidiaries, Senior and Subordinated Notes (incorporated by reference to Exhibit 22.1 to the</w:t>
              </w:r>
            </w:hyperlink>
          </w:p>
        </w:tc>
      </w:tr>
      <w:tr>
        <w:trPr>
          <w:trHeight w:val="183"/>
        </w:trPr>
        <w:tc>
          <w:tcPr>
            <w:tcW w:w="1460" w:type="dxa"/>
            <w:vAlign w:val="bottom"/>
          </w:tcPr>
          <w:p>
            <w:pPr>
              <w:spacing w:after="0"/>
              <w:rPr>
                <w:sz w:val="15"/>
                <w:szCs w:val="15"/>
                <w:color w:val="auto"/>
              </w:rPr>
            </w:pPr>
          </w:p>
        </w:tc>
        <w:tc>
          <w:tcPr>
            <w:tcW w:w="9580" w:type="dxa"/>
            <w:vAlign w:val="bottom"/>
            <w:tcBorders>
              <w:top w:val="single" w:sz="8" w:color="0000FF"/>
            </w:tcBorders>
            <w:gridSpan w:val="10"/>
          </w:tcPr>
          <w:p>
            <w:pPr>
              <w:spacing w:after="0" w:line="182"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Company’s Quarterly Report on Form 10-Q, filed on May 1, 2026).</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48"/>
        </w:trPr>
        <w:tc>
          <w:tcPr>
            <w:tcW w:w="1460" w:type="dxa"/>
            <w:vAlign w:val="bottom"/>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14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7240" w:type="dxa"/>
            <w:vAlign w:val="bottom"/>
            <w:tcBorders>
              <w:bottom w:val="single" w:sz="8" w:color="0000FF"/>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302 of the Sarbanes-Oxley Act of 2002.</w:t>
            </w:r>
          </w:p>
        </w:tc>
        <w:tc>
          <w:tcPr>
            <w:tcW w:w="2440" w:type="dxa"/>
            <w:vAlign w:val="bottom"/>
            <w:tcBorders>
              <w:bottom w:val="single" w:sz="8" w:color="CCEEFF"/>
            </w:tcBorders>
            <w:gridSpan w:val="7"/>
            <w:shd w:val="clear" w:color="auto" w:fill="CCEEFF"/>
          </w:tcPr>
          <w:p>
            <w:pPr>
              <w:spacing w:after="0"/>
              <w:rPr>
                <w:sz w:val="20"/>
                <w:szCs w:val="20"/>
                <w:color w:val="auto"/>
              </w:rPr>
            </w:pPr>
          </w:p>
        </w:tc>
      </w:tr>
      <w:tr>
        <w:trPr>
          <w:trHeight w:val="189"/>
        </w:trPr>
        <w:tc>
          <w:tcPr>
            <w:tcW w:w="1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968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r>
      <w:tr>
        <w:trPr>
          <w:trHeight w:val="48"/>
        </w:trPr>
        <w:tc>
          <w:tcPr>
            <w:tcW w:w="1460" w:type="dxa"/>
            <w:vAlign w:val="bottom"/>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30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9"/>
        </w:trPr>
        <w:tc>
          <w:tcPr>
            <w:tcW w:w="14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968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of Periodic Financial Reports pursuant to Section 906 of the Sarbanes-Oxley Act of 2002,</w:t>
            </w:r>
          </w:p>
        </w:tc>
      </w:tr>
      <w:tr>
        <w:trPr>
          <w:trHeight w:val="183"/>
        </w:trPr>
        <w:tc>
          <w:tcPr>
            <w:tcW w:w="1460" w:type="dxa"/>
            <w:vAlign w:val="bottom"/>
            <w:tcBorders>
              <w:top w:val="single" w:sz="8" w:color="CCEEFF"/>
            </w:tcBorders>
            <w:shd w:val="clear" w:color="auto" w:fill="CCEEFF"/>
          </w:tcPr>
          <w:p>
            <w:pPr>
              <w:spacing w:after="0"/>
              <w:rPr>
                <w:sz w:val="15"/>
                <w:szCs w:val="15"/>
                <w:color w:val="auto"/>
              </w:rPr>
            </w:pPr>
          </w:p>
        </w:tc>
        <w:tc>
          <w:tcPr>
            <w:tcW w:w="9640" w:type="dxa"/>
            <w:vAlign w:val="bottom"/>
            <w:tcBorders>
              <w:top w:val="single" w:sz="8" w:color="0000FF"/>
            </w:tcBorders>
            <w:gridSpan w:val="1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18 U.S.C. Section 1350.</w:t>
            </w:r>
          </w:p>
        </w:tc>
        <w:tc>
          <w:tcPr>
            <w:tcW w:w="40" w:type="dxa"/>
            <w:vAlign w:val="bottom"/>
            <w:tcBorders>
              <w:top w:val="single" w:sz="8" w:color="CCEEFF"/>
            </w:tcBorders>
            <w:gridSpan w:val="2"/>
            <w:shd w:val="clear" w:color="auto" w:fill="CCEEFF"/>
          </w:tcPr>
          <w:p>
            <w:pPr>
              <w:spacing w:after="0"/>
              <w:rPr>
                <w:sz w:val="15"/>
                <w:szCs w:val="15"/>
                <w:color w:val="auto"/>
              </w:rPr>
            </w:pPr>
          </w:p>
        </w:tc>
      </w:tr>
      <w:tr>
        <w:trPr>
          <w:trHeight w:val="48"/>
        </w:trPr>
        <w:tc>
          <w:tcPr>
            <w:tcW w:w="146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3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189"/>
        </w:trPr>
        <w:tc>
          <w:tcPr>
            <w:tcW w:w="14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968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of Periodic Financial Reports pursuant to Section 906 of the Sarbanes-Oxley Act of 2002, 18</w:t>
            </w:r>
          </w:p>
        </w:tc>
      </w:tr>
      <w:tr>
        <w:trPr>
          <w:trHeight w:val="183"/>
        </w:trPr>
        <w:tc>
          <w:tcPr>
            <w:tcW w:w="1460" w:type="dxa"/>
            <w:vAlign w:val="bottom"/>
          </w:tcPr>
          <w:p>
            <w:pPr>
              <w:spacing w:after="0"/>
              <w:rPr>
                <w:sz w:val="15"/>
                <w:szCs w:val="15"/>
                <w:color w:val="auto"/>
              </w:rPr>
            </w:pPr>
          </w:p>
        </w:tc>
        <w:tc>
          <w:tcPr>
            <w:tcW w:w="9620" w:type="dxa"/>
            <w:vAlign w:val="bottom"/>
            <w:tcBorders>
              <w:top w:val="single" w:sz="8" w:color="0000FF"/>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U.S.C. Section 1350.</w:t>
            </w:r>
          </w:p>
        </w:tc>
        <w:tc>
          <w:tcPr>
            <w:tcW w:w="60" w:type="dxa"/>
            <w:vAlign w:val="bottom"/>
            <w:gridSpan w:val="3"/>
          </w:tcPr>
          <w:p>
            <w:pPr>
              <w:spacing w:after="0"/>
              <w:rPr>
                <w:sz w:val="15"/>
                <w:szCs w:val="15"/>
                <w:color w:val="auto"/>
              </w:rPr>
            </w:pPr>
          </w:p>
        </w:tc>
      </w:tr>
      <w:tr>
        <w:trPr>
          <w:trHeight w:val="48"/>
        </w:trPr>
        <w:tc>
          <w:tcPr>
            <w:tcW w:w="1460" w:type="dxa"/>
            <w:vAlign w:val="bottom"/>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98"/>
        </w:trPr>
        <w:tc>
          <w:tcPr>
            <w:tcW w:w="14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9680" w:type="dxa"/>
            <w:vAlign w:val="bottom"/>
            <w:gridSpan w:val="1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41"/>
        </w:trPr>
        <w:tc>
          <w:tcPr>
            <w:tcW w:w="1460" w:type="dxa"/>
            <w:vAlign w:val="bottom"/>
            <w:tcBorders>
              <w:bottom w:val="single" w:sz="8" w:color="CCEEFF"/>
            </w:tcBorders>
            <w:shd w:val="clear" w:color="auto" w:fill="CCEEFF"/>
          </w:tcPr>
          <w:p>
            <w:pPr>
              <w:spacing w:after="0"/>
              <w:rPr>
                <w:sz w:val="20"/>
                <w:szCs w:val="20"/>
                <w:color w:val="auto"/>
              </w:rPr>
            </w:pPr>
          </w:p>
        </w:tc>
        <w:tc>
          <w:tcPr>
            <w:tcW w:w="968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34"/>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6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
        </w:trPr>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68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34"/>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6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2"/>
        </w:trPr>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68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6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2"/>
        </w:trPr>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4"/>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6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2"/>
        </w:trPr>
        <w:tc>
          <w:tcPr>
            <w:tcW w:w="146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2026</w:t>
      </w:r>
    </w:p>
    <w:p>
      <w:pPr>
        <w:spacing w:after="0" w:line="50"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/s/ Axel André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17145</wp:posOffset>
            </wp:positionV>
            <wp:extent cx="17659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16"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Axel André</w:t>
      </w:r>
    </w:p>
    <w:p>
      <w:pPr>
        <w:spacing w:after="0" w:line="25"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Chief Financial Officer (Principal</w:t>
      </w:r>
    </w:p>
    <w:p>
      <w:pPr>
        <w:ind w:left="8480"/>
        <w:spacing w:after="0" w:line="203" w:lineRule="auto"/>
        <w:rPr>
          <w:sz w:val="20"/>
          <w:szCs w:val="20"/>
          <w:color w:val="auto"/>
        </w:rPr>
      </w:pPr>
      <w:r>
        <w:rPr>
          <w:rFonts w:ascii="Times New Roman" w:cs="Times New Roman" w:eastAsia="Times New Roman" w:hAnsi="Times New Roman"/>
          <w:sz w:val="18"/>
          <w:szCs w:val="18"/>
          <w:color w:val="auto"/>
        </w:rPr>
        <w:t>Financial Officer and Authorized</w:t>
      </w:r>
    </w:p>
    <w:p>
      <w:pPr>
        <w:ind w:left="8480"/>
        <w:spacing w:after="0"/>
        <w:rPr>
          <w:sz w:val="20"/>
          <w:szCs w:val="20"/>
          <w:color w:val="auto"/>
        </w:rPr>
      </w:pPr>
      <w:r>
        <w:rPr>
          <w:rFonts w:ascii="Times New Roman" w:cs="Times New Roman" w:eastAsia="Times New Roman" w:hAnsi="Times New Roman"/>
          <w:sz w:val="18"/>
          <w:szCs w:val="18"/>
          <w:color w:val="auto"/>
        </w:rPr>
        <w:t>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40"/>
          </w:cols>
          <w:pgMar w:left="320" w:top="121"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 Winkelried, certify that:</w:t>
      </w:r>
    </w:p>
    <w:p>
      <w:pPr>
        <w:spacing w:after="0" w:line="198"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2026 of TPG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November 3, 2026</w:t>
      </w:r>
    </w:p>
    <w:p>
      <w:pPr>
        <w:spacing w:after="0" w:line="5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Jon Winkelried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43180</wp:posOffset>
            </wp:positionV>
            <wp:extent cx="156845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7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Jon Winkelried</w:t>
      </w:r>
    </w:p>
    <w:p>
      <w:pPr>
        <w:spacing w:after="0" w:line="7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238"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Axel André, certify that:</w:t>
      </w:r>
    </w:p>
    <w:p>
      <w:pPr>
        <w:spacing w:after="0" w:line="198"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2026 of TPG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November 3, 2026</w:t>
      </w:r>
    </w:p>
    <w:p>
      <w:pPr>
        <w:spacing w:after="0" w:line="5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Axel André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43180</wp:posOffset>
            </wp:positionV>
            <wp:extent cx="156845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7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Axel André</w:t>
      </w:r>
    </w:p>
    <w:p>
      <w:pPr>
        <w:spacing w:after="0" w:line="7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238" w:right="339" w:bottom="1440" w:gutter="0" w:footer="0" w:header="0"/>
        </w:sectPr>
      </w:pPr>
    </w:p>
    <w:bookmarkStart w:id="115" w:name="page116"/>
    <w:bookmarkEnd w:id="115"/>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9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ind w:left="3940"/>
        <w:spacing w:after="0" w:line="210" w:lineRule="auto"/>
        <w:rPr>
          <w:sz w:val="20"/>
          <w:szCs w:val="20"/>
          <w:color w:val="auto"/>
        </w:rPr>
      </w:pPr>
      <w:r>
        <w:rPr>
          <w:rFonts w:ascii="Times New Roman" w:cs="Times New Roman" w:eastAsia="Times New Roman" w:hAnsi="Times New Roman"/>
          <w:sz w:val="18"/>
          <w:szCs w:val="18"/>
          <w:b w:val="1"/>
          <w:bCs w:val="1"/>
          <w:color w:val="auto"/>
        </w:rPr>
        <w:t>PURSUANT TO 18 U.S.C. SECTION 1350,</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TPG Inc. (the “Company”) for the quarter ended September 30, 2026 as filed with the Securities and Exchange Commission on the date hereof (the “Report”), I, Jon Winkelried, Chief Executive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This certificate is being furnished solely for the purposes of 18 U.S.C. Section 1350 and is not being filed as part of the Report or as a separate disclosure document.</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2026</w:t>
      </w:r>
    </w:p>
    <w:p>
      <w:pPr>
        <w:spacing w:after="0" w:line="5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Jon Winkelried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43180</wp:posOffset>
            </wp:positionV>
            <wp:extent cx="15684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7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Jon Winkelried</w:t>
      </w:r>
    </w:p>
    <w:p>
      <w:pPr>
        <w:spacing w:after="0" w:line="7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400" w:right="339" w:bottom="1440" w:gutter="0" w:footer="0" w:header="0"/>
        </w:sectPr>
      </w:pPr>
    </w:p>
    <w:bookmarkStart w:id="116" w:name="page117"/>
    <w:bookmarkEnd w:id="116"/>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ind w:left="3940"/>
        <w:spacing w:after="0" w:line="203" w:lineRule="auto"/>
        <w:rPr>
          <w:sz w:val="20"/>
          <w:szCs w:val="20"/>
          <w:color w:val="auto"/>
        </w:rPr>
      </w:pPr>
      <w:r>
        <w:rPr>
          <w:rFonts w:ascii="Times New Roman" w:cs="Times New Roman" w:eastAsia="Times New Roman" w:hAnsi="Times New Roman"/>
          <w:sz w:val="18"/>
          <w:szCs w:val="18"/>
          <w:b w:val="1"/>
          <w:bCs w:val="1"/>
          <w:color w:val="auto"/>
        </w:rPr>
        <w:t>PURSUANT TO 18 U.S.C. SECTION 1350,</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TPG Inc. (the “Company”) for the quarter ended September 30, 2026 as filed with the Securities and Exchange Commission on the date hereof (the “Report”), I, Axel André, Chief Financial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certificate is being furnished solely for the purposes of 18 U.S.C. Section 1350 and is not being filed as part of the Report or as a separate disclosure document.</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2026</w:t>
      </w:r>
    </w:p>
    <w:p>
      <w:pPr>
        <w:spacing w:after="0" w:line="5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Axel André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43180</wp:posOffset>
            </wp:positionV>
            <wp:extent cx="156845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7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Axel André</w:t>
      </w:r>
    </w:p>
    <w:p>
      <w:pPr>
        <w:spacing w:after="0" w:line="7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x"/>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lowerLetter"/>
      <w:start w:val="1"/>
    </w:lvl>
  </w:abstractNum>
  <w:abstractNum w:abstractNumId="5">
    <w:nsid w:val="836C40E"/>
    <w:multiLevelType w:val="hybridMultilevel"/>
    <w:lvl w:ilvl="0">
      <w:lvlJc w:val="left"/>
      <w:lvlText w:val="%1."/>
      <w:numFmt w:val="decimal"/>
      <w:start w:val="2"/>
    </w:lvl>
  </w:abstractNum>
  <w:abstractNum w:abstractNumId="6">
    <w:nsid w:val="2901D82"/>
    <w:multiLevelType w:val="hybridMultilevel"/>
    <w:lvl w:ilvl="0">
      <w:lvlJc w:val="left"/>
      <w:lvlText w:val="(%1)"/>
      <w:numFmt w:val="lowerLetter"/>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1)"/>
      <w:numFmt w:val="lowerLetter"/>
      <w:start w:val="1"/>
    </w:lvl>
  </w:abstractNum>
  <w:abstractNum w:abstractNumId="9">
    <w:nsid w:val="1E7FF521"/>
    <w:multiLevelType w:val="hybridMultilevel"/>
    <w:lvl w:ilvl="0">
      <w:lvlJc w:val="left"/>
      <w:lvlText w:val="(%1)"/>
      <w:numFmt w:val="lowerLetter"/>
      <w:start w:val="1"/>
    </w:lvl>
  </w:abstractNum>
  <w:abstractNum w:abstractNumId="10">
    <w:nsid w:val="7C3DBD3D"/>
    <w:multiLevelType w:val="hybridMultilevel"/>
    <w:lvl w:ilvl="0">
      <w:lvlJc w:val="left"/>
      <w:lvlText w:val="%1."/>
      <w:numFmt w:val="decimal"/>
      <w:start w:val="6"/>
    </w:lvl>
  </w:abstractNum>
  <w:abstractNum w:abstractNumId="11">
    <w:nsid w:val="737B8DDC"/>
    <w:multiLevelType w:val="hybridMultilevel"/>
    <w:lvl w:ilvl="0">
      <w:lvlJc w:val="left"/>
      <w:lvlText w:val="(%1)"/>
      <w:numFmt w:val="lowerLetter"/>
      <w:start w:val="1"/>
    </w:lvl>
  </w:abstractNum>
  <w:abstractNum w:abstractNumId="12">
    <w:nsid w:val="6CEAF087"/>
    <w:multiLevelType w:val="hybridMultilevel"/>
    <w:lvl w:ilvl="0">
      <w:lvlJc w:val="left"/>
      <w:lvlText w:val="(%1)"/>
      <w:numFmt w:val="lowerLetter"/>
      <w:start w:val="1"/>
    </w:lvl>
  </w:abstractNum>
  <w:abstractNum w:abstractNumId="13">
    <w:nsid w:val="22221A70"/>
    <w:multiLevelType w:val="hybridMultilevel"/>
    <w:lvl w:ilvl="0">
      <w:lvlJc w:val="left"/>
      <w:lvlText w:val="(%1)"/>
      <w:numFmt w:val="lowerLetter"/>
      <w:start w:val="1"/>
    </w:lvl>
  </w:abstractNum>
  <w:abstractNum w:abstractNumId="14">
    <w:nsid w:val="4516DDE9"/>
    <w:multiLevelType w:val="hybridMultilevel"/>
    <w:lvl w:ilvl="0">
      <w:lvlJc w:val="left"/>
      <w:lvlText w:val="(%1)"/>
      <w:numFmt w:val="lowerLetter"/>
      <w:start w:val="1"/>
    </w:lvl>
  </w:abstractNum>
  <w:abstractNum w:abstractNumId="15">
    <w:nsid w:val="3006C83E"/>
    <w:multiLevelType w:val="hybridMultilevel"/>
    <w:lvl w:ilvl="0">
      <w:lvlJc w:val="left"/>
      <w:lvlText w:val="(%1)"/>
      <w:numFmt w:val="lowerLetter"/>
      <w:start w:val="1"/>
    </w:lvl>
  </w:abstractNum>
  <w:abstractNum w:abstractNumId="16">
    <w:nsid w:val="614FD4A1"/>
    <w:multiLevelType w:val="hybridMultilevel"/>
    <w:lvl w:ilvl="0">
      <w:lvlJc w:val="left"/>
      <w:lvlText w:val="(%1)"/>
      <w:numFmt w:val="lowerLetter"/>
      <w:start w:val="1"/>
    </w:lvl>
  </w:abstractNum>
  <w:abstractNum w:abstractNumId="17">
    <w:nsid w:val="419AC241"/>
    <w:multiLevelType w:val="hybridMultilevel"/>
    <w:lvl w:ilvl="0">
      <w:lvlJc w:val="left"/>
      <w:lvlText w:val="%1."/>
      <w:numFmt w:val="decimal"/>
      <w:start w:val="12"/>
    </w:lvl>
  </w:abstractNum>
  <w:abstractNum w:abstractNumId="18">
    <w:nsid w:val="5577F8E1"/>
    <w:multiLevelType w:val="hybridMultilevel"/>
    <w:lvl w:ilvl="0">
      <w:lvlJc w:val="left"/>
      <w:lvlText w:val="(%1)"/>
      <w:numFmt w:val="lowerLetter"/>
      <w:start w:val="1"/>
    </w:lvl>
  </w:abstractNum>
  <w:abstractNum w:abstractNumId="19">
    <w:nsid w:val="440BADFC"/>
    <w:multiLevelType w:val="hybridMultilevel"/>
    <w:lvl w:ilvl="0">
      <w:lvlJc w:val="left"/>
      <w:lvlText w:val="%1."/>
      <w:numFmt w:val="decimal"/>
      <w:start w:val="14"/>
    </w:lvl>
  </w:abstractNum>
  <w:abstractNum w:abstractNumId="20">
    <w:nsid w:val="5072367"/>
    <w:multiLevelType w:val="hybridMultilevel"/>
    <w:lvl w:ilvl="0">
      <w:lvlJc w:val="left"/>
      <w:lvlText w:val="(%1)"/>
      <w:numFmt w:val="lowerLetter"/>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1)"/>
      <w:numFmt w:val="lowerRoman"/>
      <w:start w:val="5"/>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1)"/>
      <w:numFmt w:val="lowerRoman"/>
      <w:start w:val="2"/>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1."/>
      <w:numFmt w:val="lowerRoman"/>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decimal"/>
      <w:start w:val="17"/>
    </w:lvl>
    <w:lvl w:ilvl="1">
      <w:lvlJc w:val="left"/>
      <w:lvlText w:val="(%2)"/>
      <w:numFmt w:val="lowerRoman"/>
      <w:start w:val="4"/>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45" Type="http://schemas.openxmlformats.org/officeDocument/2006/relationships/hyperlink" Target="https://www.sec.gov/Archives/edgar/data/1880661/000188066123000109/ex-31.htm" TargetMode="External"/><Relationship Id="rId146" Type="http://schemas.openxmlformats.org/officeDocument/2006/relationships/hyperlink" Target="https://www.sec.gov/Archives/edgar/data/1880661/000188066124000034/ex31-tpgincxcertificateofa.htm" TargetMode="External"/><Relationship Id="rId147" Type="http://schemas.openxmlformats.org/officeDocument/2006/relationships/hyperlink" Target="https://www.sec.gov/Archives/edgar/data/1880661/000119312523165304/d494929dex32.htm" TargetMode="External"/><Relationship Id="rId148" Type="http://schemas.openxmlformats.org/officeDocument/2006/relationships/hyperlink" Target="https://www.sec.gov/Archives/edgar/data/1880661/000188066126000033/a2026331ex2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2026-11-03T15:17:45Z</dcterms:created>
  <dcterms:modified xsi:type="dcterms:W3CDTF">2026-11-03T15:17:45Z</dcterms:modified>
</cp:coreProperties>
</file>