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Sarvananthan Ganendran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TPG Inc.</w:t>
              </w:r>
            </w:hyperlink>
            <w:r>
              <w:rPr/>
              <w:t xml:space="preserve"> [ </w:t>
            </w:r>
            <w:r>
              <w:rPr>
                <w:rFonts w:ascii="Times;serif" w:hAnsi="Times;serif"/>
                <w:color w:val="0000FF"/>
                <w:sz w:val="24"/>
                <w:shd w:fill="FFFFFF" w:val="clear"/>
              </w:rPr>
              <w:t>TPG</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53" w:type="dxa"/>
        <w:jc w:val="left"/>
        <w:tblInd w:w="-7" w:type="dxa"/>
        <w:tblLayout w:type="fixed"/>
        <w:tblCellMar>
          <w:top w:w="60" w:type="dxa"/>
          <w:left w:w="60" w:type="dxa"/>
          <w:bottom w:w="60" w:type="dxa"/>
          <w:right w:w="60" w:type="dxa"/>
        </w:tblCellMar>
      </w:tblPr>
      <w:tblGrid>
        <w:gridCol w:w="950"/>
        <w:gridCol w:w="861"/>
        <w:gridCol w:w="891"/>
        <w:gridCol w:w="771"/>
        <w:gridCol w:w="591"/>
        <w:gridCol w:w="300"/>
        <w:gridCol w:w="498"/>
        <w:gridCol w:w="303"/>
        <w:gridCol w:w="906"/>
        <w:gridCol w:w="801"/>
        <w:gridCol w:w="891"/>
        <w:gridCol w:w="636"/>
        <w:gridCol w:w="801"/>
        <w:gridCol w:w="966"/>
        <w:gridCol w:w="831"/>
        <w:gridCol w:w="1056"/>
      </w:tblGrid>
      <w:tr>
        <w:trPr>
          <w:tblHeader w:val="true"/>
        </w:trPr>
        <w:tc>
          <w:tcPr>
            <w:tcW w:w="1205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5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5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5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5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TPG Partner Holdings, L.P.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263</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Class A Common Stock</w:t>
            </w:r>
            <w:r>
              <w:rPr>
                <w:rFonts w:ascii="Times;serif" w:hAnsi="Times;serif"/>
                <w:color w:val="008000"/>
                <w:position w:val="7"/>
                <w:sz w:val="16"/>
                <w:sz w:val="20"/>
                <w:shd w:fill="FFFFFF" w:val="clear"/>
              </w:rPr>
              <w:t>(2)</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1,424,627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Personal Investment Vehicle</w:t>
            </w:r>
            <w:r>
              <w:rPr>
                <w:rFonts w:ascii="Times;serif" w:hAnsi="Times;serif"/>
                <w:color w:val="008000"/>
                <w:position w:val="7"/>
                <w:sz w:val="16"/>
                <w:sz w:val="20"/>
                <w:shd w:fill="FFFFFF" w:val="clear"/>
              </w:rPr>
              <w:t>(3)(4)</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5, 2026, 263 additional units ("TPH Units") of TPG Partner Holdings, L.P. ("Partner Holdings") were allocated automatically to the Reporting Person in accordance with Partner Holdings' limited partnership agreement upon their forfeiture by a former partner of Partner Holdings.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Amended and Restated Exchange Agreement filed by TPG Inc. (the "Issuer") with the Securities and Exchange Commission (the "Commission") on November 2, 2023, TPH Units are ultimately exchangeable for cash or, at the Issuer's election, shares of Class A common stock of the Issuer on a one-for-one basis, subject to customary conversion rate adjustments and transfer restrictions (the "exchange consideration"). Upon an exchange of TPH Units, an equal number of Common Units of TPG Operating Group II, L.P. held by TPG Group Holdings (SBS), L.P. ("Group Holdings"), of which Partner Holdings is an indirect limited partner, are exchanged on a one-for-one basis for the exchange consideration, and an equal number of shares of Class B common stock of the Issuer also held by Group Holdings will be automatically cancelled for no additional consideration. Each share of Class B common stock entitles the holder to ten votes per share but carries no economic rights.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Because of the relationship between the Reporting Person and the entity holding these securities, the Reporting Person may be deemed to beneficially own these securities to the extent of the greater of the Reporting Person's direct or indirect pecuniary interest in the profits, capital accounts or distributions of the holder. The Reporting Person disclaims beneficial ownership of these securities, except to the extent of the Reporting Person's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Rule 16a-1(a)(4) under the Securities Exchange Act of 1934, as amended (the "Exchange Act"), this filing shall not be deemed an admission that the Reporting Person is, for purposes of Section 16 of the Exchange Act or otherwise, the beneficial owner of any equity securities in excess of the Reporting Person's pecuniary interest.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Jennifer Chu is signing on behalf of Mr. Sarvananthan pursuant to the power of attorney dated August 16, 2025, which was previously filed with the Commission.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L. Chu, as attorney-in-fact(5)</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3744" TargetMode="External"/><Relationship Id="rId5" Type="http://schemas.openxmlformats.org/officeDocument/2006/relationships/hyperlink" Target="http://www.sec.gov/cgi-bin/browse-edgar?action=getcompany&amp;CIK=00018806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932</Words>
  <Characters>5061</Characters>
  <CharactersWithSpaces>5916</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