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25, 2026</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TPG Private Equity Opportunities, L.P.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000-56717</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99-4755034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p>
      <w:pPr>
        <w:spacing w:after="0" w:line="63" w:lineRule="exact"/>
        <w:rPr>
          <w:sz w:val="24"/>
          <w:szCs w:val="24"/>
          <w:color w:val="auto"/>
        </w:rPr>
      </w:pPr>
    </w:p>
    <w:p>
      <w:pPr>
        <w:jc w:val="both"/>
        <w:ind w:left="760" w:firstLine="38"/>
        <w:spacing w:after="0" w:line="312"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right"/>
        <w:ind w:right="380"/>
        <w:spacing w:after="0"/>
        <w:tabs>
          <w:tab w:leader="none" w:pos="292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Number)</w:t>
      </w:r>
    </w:p>
    <w:p>
      <w:pPr>
        <w:spacing w:after="0" w:line="1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301 Commerce Street, Suite 3300</w:t>
      </w:r>
    </w:p>
    <w:p>
      <w:pPr>
        <w:spacing w:after="0" w:line="3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Fort Worth, TX 76102</w:t>
      </w:r>
    </w:p>
    <w:p>
      <w:pPr>
        <w:spacing w:after="0" w:line="45"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(817) 871-4000</w:t>
      </w:r>
    </w:p>
    <w:p>
      <w:pPr>
        <w:spacing w:after="0" w:line="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6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0" w:lineRule="exact"/>
        <w:rPr>
          <w:sz w:val="24"/>
          <w:szCs w:val="24"/>
          <w:color w:val="auto"/>
        </w:rPr>
      </w:pPr>
    </w:p>
    <w:p>
      <w:pPr>
        <w:sectPr>
          <w:pgSz w:w="11900" w:h="16838" w:orient="portrait"/>
          <w:cols w:equalWidth="0" w:num="2">
            <w:col w:w="2920" w:space="500"/>
            <w:col w:w="7820"/>
          </w:cols>
          <w:pgMar w:left="320" w:top="1191" w:right="339" w:bottom="1440" w:gutter="0" w:footer="0" w:header="0"/>
          <w:type w:val="continuous"/>
        </w:sectPr>
      </w:pPr>
    </w:p>
    <w:p>
      <w:pPr>
        <w:spacing w:after="0" w:line="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22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70"/>
        </w:trPr>
        <w:tc>
          <w:tcPr>
            <w:tcW w:w="3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None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None</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225" w:lineRule="exact"/>
        <w:rPr>
          <w:sz w:val="24"/>
          <w:szCs w:val="24"/>
          <w:color w:val="auto"/>
        </w:rPr>
      </w:pPr>
    </w:p>
    <w:p>
      <w:pPr>
        <w:ind w:right="220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 Unregistered Sales of Equity Securities.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March 1, 2026, TPG Private Equity Opportunities, L.P., a Delaware limited partnership (the “Fund” or “T-POP”), sold unregistered limited partnership units (the “Units”) of the Fund as part of its continuous private offering for aggregate consideration of $132.6 million. The following table details the Units sold: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80" w:type="dxa"/>
            <w:vAlign w:val="bottom"/>
          </w:tcPr>
          <w:p>
            <w:pPr>
              <w:spacing w:after="0"/>
              <w:rPr>
                <w:sz w:val="18"/>
                <w:szCs w:val="18"/>
                <w:color w:val="auto"/>
              </w:rPr>
            </w:pPr>
          </w:p>
        </w:tc>
        <w:tc>
          <w:tcPr>
            <w:tcW w:w="3660" w:type="dxa"/>
            <w:vAlign w:val="bottom"/>
          </w:tcPr>
          <w:p>
            <w:pPr>
              <w:jc w:val="right"/>
              <w:ind w:right="993"/>
              <w:spacing w:after="0"/>
              <w:rPr>
                <w:sz w:val="20"/>
                <w:szCs w:val="20"/>
                <w:color w:val="auto"/>
              </w:rPr>
            </w:pPr>
            <w:r>
              <w:rPr>
                <w:rFonts w:ascii="Times New Roman" w:cs="Times New Roman" w:eastAsia="Times New Roman" w:hAnsi="Times New Roman"/>
                <w:sz w:val="16"/>
                <w:szCs w:val="16"/>
                <w:b w:val="1"/>
                <w:bCs w:val="1"/>
                <w:color w:val="auto"/>
              </w:rPr>
              <w:t>Number of Units Sold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Aggregate Consideration</w:t>
            </w:r>
          </w:p>
        </w:tc>
      </w:tr>
      <w:tr>
        <w:trPr>
          <w:trHeight w:val="33"/>
        </w:trPr>
        <w:tc>
          <w:tcPr>
            <w:tcW w:w="3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R-I</w:t>
            </w:r>
          </w:p>
        </w:tc>
        <w:tc>
          <w:tcPr>
            <w:tcW w:w="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2,813,636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86,548,970</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1,439,863</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44,003,421</w:t>
            </w:r>
          </w:p>
        </w:tc>
      </w:tr>
      <w:tr>
        <w:trPr>
          <w:trHeight w:val="41"/>
        </w:trPr>
        <w:tc>
          <w:tcPr>
            <w:tcW w:w="366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640" w:type="dxa"/>
            <w:vAlign w:val="bottom"/>
            <w:gridSpan w:val="2"/>
          </w:tcPr>
          <w:p>
            <w:pPr>
              <w:spacing w:after="0"/>
              <w:rPr>
                <w:sz w:val="3"/>
                <w:szCs w:val="3"/>
                <w:color w:val="auto"/>
              </w:rPr>
            </w:pPr>
          </w:p>
        </w:tc>
        <w:tc>
          <w:tcPr>
            <w:tcW w:w="3140" w:type="dxa"/>
            <w:vAlign w:val="bottom"/>
          </w:tcPr>
          <w:p>
            <w:pPr>
              <w:spacing w:after="0"/>
              <w:rPr>
                <w:sz w:val="3"/>
                <w:szCs w:val="3"/>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R-D</w:t>
            </w:r>
          </w:p>
        </w:tc>
        <w:tc>
          <w:tcPr>
            <w:tcW w:w="80" w:type="dxa"/>
            <w:vAlign w:val="bottom"/>
            <w:shd w:val="clear" w:color="auto" w:fill="CCEEFF"/>
          </w:tcPr>
          <w:p>
            <w:pPr>
              <w:spacing w:after="0"/>
              <w:rPr>
                <w:sz w:val="21"/>
                <w:szCs w:val="21"/>
                <w:color w:val="auto"/>
              </w:rPr>
            </w:pP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41"/>
        </w:trPr>
        <w:tc>
          <w:tcPr>
            <w:tcW w:w="3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140" w:type="dxa"/>
            <w:vAlign w:val="bottom"/>
            <w:shd w:val="clear" w:color="auto" w:fill="CCEEFF"/>
          </w:tcPr>
          <w:p>
            <w:pPr>
              <w:spacing w:after="0"/>
              <w:rPr>
                <w:sz w:val="3"/>
                <w:szCs w:val="3"/>
                <w:color w:val="auto"/>
              </w:rPr>
            </w:pPr>
          </w:p>
        </w:tc>
      </w:tr>
    </w:tbl>
    <w:p>
      <w:pPr>
        <w:spacing w:after="0" w:line="3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 and sale of the Units were made as part of the Fund’s continuous private offering and were exempt from the registration provisions of the Securities Act of 1933, as amended, pursuant to Section 4(a)(2) and Regulation D thereunder. Units were sold to third-party investors, including through TPG Private Equity Opportunities (TE), L.P. (“Feeder TE”), a Delaware limited partnership, for certain investors with particular tax characteristics, such as tax-exempt investors and non-U.S. investors, and that invests all or substantially all of its assets indirectly in the Fund’s Class R-I Units. Feeder TE issued to third party investors 1,100,007 of Class R-S_TE, 501,680 of Class R-I_TE, and 157,761 of Class F_TE, which are included in the Class R-I Units presented in the table above.</w:t>
      </w:r>
    </w:p>
    <w:p>
      <w:pPr>
        <w:spacing w:after="0" w:line="21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Fund, alongside certain parallel investment entities, invest substantially all of their assets in T-POP US Aggregator (CYM), L.P. (the “Aggregator”, and collectively with the Fund, Feeder TE and such parallel investment entities, the “T-POP Fund Complex”). On March 1, 2026, the T-POP Fund Complex (inclusive of the Fund) issued interests for aggregate consideration of approximately $149.0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Fund calculates the transactional net asset value (“Transactional NAV”) for purposes of establishing the price at which transactions in the respective Units are made. A description of the Fund’s valuation process was included under “Calculation of Net Asset Value” within “Item 5. Market for Registrant's Common Equity, Related Stockholder Matters and Issuer Purchases of Equity Securities” in the Fund’s Annual Report on Form 10-K for the year ended December 31, 2025 filed with the Securities and Exchange Commission on March 23, 2026.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will be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 (“GAAP”).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major components of the Fund’s Transactional Net Asset Value as of February 28, 2026 ($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T-POP’s Transactional Net Asset Value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February 28, 2026</w:t>
            </w:r>
          </w:p>
        </w:tc>
      </w:tr>
      <w:tr>
        <w:trPr>
          <w:trHeight w:val="33"/>
        </w:trPr>
        <w:tc>
          <w:tcPr>
            <w:tcW w:w="9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the Aggregator (cost of $1,071,196)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1,227,591</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40"/>
        </w:trPr>
        <w:tc>
          <w:tcPr>
            <w:tcW w:w="9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64"/>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Payable</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8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Servicing Fee Payable </w:t>
            </w:r>
            <w:r>
              <w:rPr>
                <w:rFonts w:ascii="Times New Roman" w:cs="Times New Roman" w:eastAsia="Times New Roman" w:hAnsi="Times New Roman"/>
                <w:sz w:val="23"/>
                <w:szCs w:val="23"/>
                <w:color w:val="auto"/>
                <w:vertAlign w:val="superscript"/>
              </w:rPr>
              <w:t>(a)</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9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6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1,225,340</w:t>
            </w:r>
          </w:p>
        </w:tc>
      </w:tr>
      <w:tr>
        <w:trPr>
          <w:trHeight w:val="27"/>
        </w:trPr>
        <w:tc>
          <w:tcPr>
            <w:tcW w:w="9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161"/>
        </w:trPr>
        <w:tc>
          <w:tcPr>
            <w:tcW w:w="9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jc w:val="both"/>
        <w:ind w:left="500" w:hanging="492"/>
        <w:spacing w:after="0" w:line="272" w:lineRule="auto"/>
        <w:tabs>
          <w:tab w:leader="none" w:pos="49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Fees Payable only apply to Class R-S and Class R-D Units. For purposes of T-POP’s Transactional NAV, the fees are recognized as a reduction of T-POP’s Transactional NAV on a monthly basis. For purposes of calculating net asset value in accordance with GAAP, the Fund accrues the cost of the servicing fees, as applicable, for the estimated life of the shares as an offering cost at the time the Fund sells Class R-S Units and Class R-D Units.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Fund’s Transactional Net Asset Value per Unit by class as of February 28, 2026:</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r>
      <w:tr>
        <w:trPr>
          <w:trHeight w:val="207"/>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Transactional NAV</w:t>
            </w:r>
          </w:p>
        </w:tc>
      </w:tr>
      <w:tr>
        <w:trPr>
          <w:trHeight w:val="21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Transactional NAV per Unit</w:t>
            </w:r>
          </w:p>
        </w:tc>
        <w:tc>
          <w:tcPr>
            <w:tcW w:w="100" w:type="dxa"/>
            <w:vAlign w:val="bottom"/>
          </w:tcPr>
          <w:p>
            <w:pPr>
              <w:spacing w:after="0"/>
              <w:rPr>
                <w:sz w:val="18"/>
                <w:szCs w:val="18"/>
                <w:color w:val="auto"/>
              </w:rPr>
            </w:pPr>
          </w:p>
        </w:tc>
        <w:tc>
          <w:tcPr>
            <w:tcW w:w="2780" w:type="dxa"/>
            <w:vAlign w:val="bottom"/>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33"/>
        </w:trPr>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7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Class R-I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shd w:val="clear" w:color="auto" w:fill="CCEEFF"/>
          </w:tcPr>
          <w:p>
            <w:pPr>
              <w:spacing w:after="0"/>
              <w:rPr>
                <w:sz w:val="24"/>
                <w:szCs w:val="24"/>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23,829,804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733,018</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14,559,843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444,961</w:t>
            </w:r>
          </w:p>
        </w:tc>
      </w:tr>
      <w:tr>
        <w:trPr>
          <w:trHeight w:val="41"/>
        </w:trPr>
        <w:tc>
          <w:tcPr>
            <w:tcW w:w="25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2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63"/>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R-D</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F</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1,235,417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39,164</w:t>
            </w: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8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2380" w:type="dxa"/>
            <w:vAlign w:val="bottom"/>
          </w:tcPr>
          <w:p>
            <w:pPr>
              <w:spacing w:after="0"/>
              <w:rPr>
                <w:sz w:val="3"/>
                <w:szCs w:val="3"/>
                <w:color w:val="auto"/>
              </w:rPr>
            </w:pPr>
          </w:p>
        </w:tc>
      </w:tr>
      <w:tr>
        <w:trPr>
          <w:trHeight w:val="291"/>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25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39,892,151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1,225,340</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500" w:right="20" w:hanging="492"/>
        <w:spacing w:after="0" w:line="280" w:lineRule="auto"/>
        <w:tabs>
          <w:tab w:leader="none" w:pos="49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Transactional NAV per Unit for Class R-I does not reflect Feeder TE specific expenses and other net assets and liabilities. In addition, it does not reflect Class F_TE units which are not subject to management fees or performance participation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648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tc>
      </w:tr>
      <w:tr>
        <w:trPr>
          <w:trHeight w:val="55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25, 2026</w:t>
            </w:r>
          </w:p>
        </w:tc>
        <w:tc>
          <w:tcPr>
            <w:tcW w:w="30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 White</w:t>
            </w:r>
          </w:p>
        </w:tc>
      </w:tr>
      <w:tr>
        <w:trPr>
          <w:trHeight w:val="41"/>
        </w:trPr>
        <w:tc>
          <w:tcPr>
            <w:tcW w:w="3940" w:type="dxa"/>
            <w:vAlign w:val="bottom"/>
          </w:tcPr>
          <w:p>
            <w:pPr>
              <w:spacing w:after="0"/>
              <w:rPr>
                <w:sz w:val="3"/>
                <w:szCs w:val="3"/>
                <w:color w:val="auto"/>
              </w:rPr>
            </w:pPr>
          </w:p>
        </w:tc>
        <w:tc>
          <w:tcPr>
            <w:tcW w:w="300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237"/>
        </w:trPr>
        <w:tc>
          <w:tcPr>
            <w:tcW w:w="3940" w:type="dxa"/>
            <w:vAlign w:val="bottom"/>
          </w:tcPr>
          <w:p>
            <w:pPr>
              <w:spacing w:after="0"/>
              <w:rPr>
                <w:sz w:val="20"/>
                <w:szCs w:val="20"/>
                <w:color w:val="auto"/>
              </w:rPr>
            </w:pPr>
          </w:p>
        </w:tc>
        <w:tc>
          <w:tcPr>
            <w:tcW w:w="30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White</w:t>
            </w:r>
          </w:p>
        </w:tc>
      </w:tr>
      <w:tr>
        <w:trPr>
          <w:trHeight w:val="283"/>
        </w:trPr>
        <w:tc>
          <w:tcPr>
            <w:tcW w:w="3940" w:type="dxa"/>
            <w:vAlign w:val="bottom"/>
          </w:tcPr>
          <w:p>
            <w:pPr>
              <w:spacing w:after="0"/>
              <w:rPr>
                <w:sz w:val="24"/>
                <w:szCs w:val="24"/>
                <w:color w:val="auto"/>
              </w:rPr>
            </w:pPr>
          </w:p>
        </w:tc>
        <w:tc>
          <w:tcPr>
            <w:tcW w:w="30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2026-03-25T07:04:40Z</dcterms:created>
  <dcterms:modified xsi:type="dcterms:W3CDTF">2026-03-25T07:04:40Z</dcterms:modified>
</cp:coreProperties>
</file>