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4858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85838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Davis Kelvin L.</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301 COMMERCE STREET</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TPG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TPG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344"/>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360" w:type="dxa"/>
            <w:vAlign w:val="bottom"/>
            <w:gridSpan w:val="10"/>
          </w:tcPr>
          <w:p>
            <w:pPr>
              <w:jc w:val="center"/>
              <w:ind w:left="38"/>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13"/>
                <w:szCs w:val="13"/>
                <w:color w:val="auto"/>
              </w:rPr>
            </w:pPr>
          </w:p>
        </w:tc>
        <w:tc>
          <w:tcPr>
            <w:tcW w:w="3620" w:type="dxa"/>
            <w:vAlign w:val="bottom"/>
            <w:gridSpan w:val="10"/>
          </w:tcPr>
          <w:p>
            <w:pPr>
              <w:ind w:left="2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2"/>
                <w:szCs w:val="12"/>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FORT WORTH   TX</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76102</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80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jc w:val="center"/>
              <w:ind w:left="75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2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3"/>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560" w:type="dxa"/>
            <w:vAlign w:val="bottom"/>
            <w:tcBorders>
              <w:bottom w:val="single" w:sz="8" w:color="2C2C2C"/>
            </w:tcBorders>
            <w:gridSpan w:val="7"/>
          </w:tcPr>
          <w:p>
            <w:pPr>
              <w:spacing w:after="0"/>
              <w:rPr>
                <w:sz w:val="6"/>
                <w:szCs w:val="6"/>
                <w:color w:val="auto"/>
              </w:rPr>
            </w:pPr>
          </w:p>
        </w:tc>
        <w:tc>
          <w:tcPr>
            <w:tcW w:w="14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5"/>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6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4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0"/>
                <w:szCs w:val="10"/>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0"/>
                <w:szCs w:val="10"/>
                <w:color w:val="auto"/>
              </w:rPr>
            </w:pPr>
          </w:p>
        </w:tc>
        <w:tc>
          <w:tcPr>
            <w:tcW w:w="15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1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10"/>
                <w:szCs w:val="10"/>
                <w:color w:val="auto"/>
              </w:rPr>
            </w:pPr>
          </w:p>
        </w:tc>
        <w:tc>
          <w:tcPr>
            <w:tcW w:w="15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1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1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TPG</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Partner</w:t>
            </w: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gridSpan w:val="2"/>
            <w:vMerge w:val="restart"/>
          </w:tcPr>
          <w:p>
            <w:pPr>
              <w:ind w:left="120"/>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0000FF"/>
              </w:rPr>
              <w:t>41,661</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06/16/2026</w:t>
            </w:r>
          </w:p>
        </w:tc>
        <w:tc>
          <w:tcPr>
            <w:tcW w:w="10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41,661</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w w:val="85"/>
              </w:rPr>
              <w:t>(2)</w:t>
            </w:r>
          </w:p>
        </w:tc>
        <w:tc>
          <w:tcPr>
            <w:tcW w:w="280" w:type="dxa"/>
            <w:vAlign w:val="bottom"/>
          </w:tcPr>
          <w:p>
            <w:pPr>
              <w:spacing w:after="0"/>
              <w:rPr>
                <w:sz w:val="7"/>
                <w:szCs w:val="7"/>
                <w:color w:val="auto"/>
              </w:rPr>
            </w:pPr>
          </w:p>
        </w:tc>
        <w:tc>
          <w:tcPr>
            <w:tcW w:w="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w w:val="85"/>
              </w:rPr>
              <w:t>(2)</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42.48</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41,661</w:t>
            </w:r>
          </w:p>
        </w:tc>
        <w:tc>
          <w:tcPr>
            <w:tcW w:w="260" w:type="dxa"/>
            <w:vAlign w:val="bottom"/>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ind w:left="100"/>
              <w:spacing w:after="0" w:line="137" w:lineRule="exact"/>
              <w:rPr>
                <w:sz w:val="20"/>
                <w:szCs w:val="20"/>
                <w:color w:val="auto"/>
              </w:rPr>
            </w:pPr>
            <w:r>
              <w:rPr>
                <w:rFonts w:ascii="Times New Roman" w:cs="Times New Roman" w:eastAsia="Times New Roman" w:hAnsi="Times New Roman"/>
                <w:sz w:val="10"/>
                <w:szCs w:val="10"/>
                <w:color w:val="0000FF"/>
              </w:rPr>
              <w:t>Stock</w:t>
            </w:r>
            <w:r>
              <w:rPr>
                <w:rFonts w:ascii="Times New Roman" w:cs="Times New Roman" w:eastAsia="Times New Roman" w:hAnsi="Times New Roman"/>
                <w:sz w:val="15"/>
                <w:szCs w:val="15"/>
                <w:color w:val="008000"/>
                <w:vertAlign w:val="superscript"/>
              </w:rPr>
              <w:t>(2)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L.P. Units</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TPG</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2"/>
                <w:szCs w:val="12"/>
                <w:color w:val="0000FF"/>
              </w:rPr>
              <w:t>By Personal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Partner</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w w:val="85"/>
              </w:rPr>
              <w:t>(2)</w:t>
            </w:r>
          </w:p>
        </w:tc>
        <w:tc>
          <w:tcPr>
            <w:tcW w:w="280" w:type="dxa"/>
            <w:vAlign w:val="bottom"/>
          </w:tcPr>
          <w:p>
            <w:pPr>
              <w:spacing w:after="0"/>
              <w:rPr>
                <w:sz w:val="6"/>
                <w:szCs w:val="6"/>
                <w:color w:val="auto"/>
              </w:rPr>
            </w:pPr>
          </w:p>
        </w:tc>
        <w:tc>
          <w:tcPr>
            <w:tcW w:w="40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w w:val="85"/>
              </w:rPr>
              <w:t>(2)</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jc w:val="right"/>
              <w:spacing w:after="0" w:line="156" w:lineRule="exact"/>
              <w:rPr>
                <w:sz w:val="20"/>
                <w:szCs w:val="20"/>
                <w:color w:val="auto"/>
              </w:rPr>
            </w:pPr>
            <w:r>
              <w:rPr>
                <w:rFonts w:ascii="Times New Roman" w:cs="Times New Roman" w:eastAsia="Times New Roman" w:hAnsi="Times New Roman"/>
                <w:sz w:val="16"/>
                <w:szCs w:val="16"/>
                <w:color w:val="0000FF"/>
              </w:rPr>
              <w:t>11,602,827</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11,602,827</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40" w:type="dxa"/>
            <w:vAlign w:val="bottom"/>
            <w:vMerge w:val="restart"/>
          </w:tcPr>
          <w:p>
            <w:pPr>
              <w:ind w:left="380"/>
              <w:spacing w:after="0" w:line="81" w:lineRule="exact"/>
              <w:rPr>
                <w:sz w:val="20"/>
                <w:szCs w:val="20"/>
                <w:color w:val="auto"/>
              </w:rPr>
            </w:pPr>
            <w:r>
              <w:rPr>
                <w:rFonts w:ascii="Times New Roman" w:cs="Times New Roman" w:eastAsia="Times New Roman" w:hAnsi="Times New Roman"/>
                <w:sz w:val="9"/>
                <w:szCs w:val="9"/>
                <w:color w:val="008000"/>
              </w:rPr>
              <w:t>(2)</w:t>
            </w: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tcBorders>
              <w:right w:val="single" w:sz="8" w:color="2C2C2C"/>
            </w:tcBorders>
            <w:gridSpan w:val="3"/>
            <w:vMerge w:val="restart"/>
          </w:tcPr>
          <w:p>
            <w:pPr>
              <w:ind w:left="540"/>
              <w:spacing w:after="0" w:line="81" w:lineRule="exact"/>
              <w:rPr>
                <w:sz w:val="20"/>
                <w:szCs w:val="20"/>
                <w:color w:val="auto"/>
              </w:rPr>
            </w:pPr>
            <w:r>
              <w:rPr>
                <w:rFonts w:ascii="Times New Roman" w:cs="Times New Roman" w:eastAsia="Times New Roman" w:hAnsi="Times New Roman"/>
                <w:sz w:val="9"/>
                <w:szCs w:val="9"/>
                <w:color w:val="008000"/>
              </w:rPr>
              <w:t>(3)(4)</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660" w:type="dxa"/>
            <w:vAlign w:val="bottom"/>
            <w:gridSpan w:val="2"/>
          </w:tcPr>
          <w:p>
            <w:pPr>
              <w:ind w:left="60"/>
              <w:spacing w:after="0" w:line="20" w:lineRule="exact"/>
              <w:rPr>
                <w:sz w:val="20"/>
                <w:szCs w:val="20"/>
                <w:color w:val="auto"/>
              </w:rPr>
            </w:pPr>
            <w:r>
              <w:rPr>
                <w:rFonts w:ascii="Times New Roman" w:cs="Times New Roman" w:eastAsia="Times New Roman" w:hAnsi="Times New Roman"/>
                <w:sz w:val="2"/>
                <w:szCs w:val="2"/>
                <w:color w:val="0000FF"/>
              </w:rPr>
              <w:t>Holdings,</w:t>
            </w:r>
          </w:p>
        </w:tc>
        <w:tc>
          <w:tcPr>
            <w:tcW w:w="76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6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540" w:type="dxa"/>
            <w:vAlign w:val="bottom"/>
          </w:tcPr>
          <w:p>
            <w:pPr>
              <w:ind w:left="80"/>
              <w:spacing w:after="0" w:line="56" w:lineRule="exact"/>
              <w:rPr>
                <w:sz w:val="20"/>
                <w:szCs w:val="20"/>
                <w:color w:val="auto"/>
              </w:rPr>
            </w:pPr>
            <w:r>
              <w:rPr>
                <w:rFonts w:ascii="Times New Roman" w:cs="Times New Roman" w:eastAsia="Times New Roman" w:hAnsi="Times New Roman"/>
                <w:sz w:val="6"/>
                <w:szCs w:val="6"/>
                <w:color w:val="0000FF"/>
              </w:rPr>
              <w:t>Common</w:t>
            </w: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tcBorders>
              <w:right w:val="single" w:sz="8" w:color="2C2C2C"/>
            </w:tcBorders>
            <w:gridSpan w:val="3"/>
          </w:tcPr>
          <w:p>
            <w:pPr>
              <w:ind w:left="120"/>
              <w:spacing w:after="0" w:line="56" w:lineRule="exact"/>
              <w:rPr>
                <w:sz w:val="20"/>
                <w:szCs w:val="20"/>
                <w:color w:val="auto"/>
              </w:rPr>
            </w:pPr>
            <w:r>
              <w:rPr>
                <w:rFonts w:ascii="Times New Roman" w:cs="Times New Roman" w:eastAsia="Times New Roman" w:hAnsi="Times New Roman"/>
                <w:sz w:val="6"/>
                <w:szCs w:val="6"/>
                <w:color w:val="0000FF"/>
              </w:rPr>
              <w:t>Investment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L.P. 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right w:val="single" w:sz="8" w:color="2C2C2C"/>
            </w:tcBorders>
            <w:gridSpan w:val="3"/>
          </w:tcPr>
          <w:p>
            <w:pPr>
              <w:ind w:left="120"/>
              <w:spacing w:after="0"/>
              <w:rPr>
                <w:sz w:val="20"/>
                <w:szCs w:val="20"/>
                <w:color w:val="auto"/>
              </w:rPr>
            </w:pPr>
            <w:r>
              <w:rPr>
                <w:rFonts w:ascii="Times New Roman" w:cs="Times New Roman" w:eastAsia="Times New Roman" w:hAnsi="Times New Roman"/>
                <w:sz w:val="12"/>
                <w:szCs w:val="12"/>
                <w:color w:val="0000FF"/>
              </w:rPr>
              <w:t>Vehicles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-2301875</wp:posOffset>
            </wp:positionV>
            <wp:extent cx="28575" cy="230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075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16, 2026, a trust for which the Reporting Person was the Grantor transferred to the Reporting Person 41,661 units ("TPH Units") of TPG Partner Holdings, L.P. ("Partner Holdings").</w:t>
      </w:r>
    </w:p>
    <w:p>
      <w:pPr>
        <w:spacing w:after="0" w:line="49" w:lineRule="exact"/>
        <w:rPr>
          <w:rFonts w:ascii="Times New Roman" w:cs="Times New Roman" w:eastAsia="Times New Roman" w:hAnsi="Times New Roman"/>
          <w:sz w:val="12"/>
          <w:szCs w:val="12"/>
          <w:color w:val="008000"/>
        </w:rPr>
      </w:pPr>
    </w:p>
    <w:p>
      <w:pPr>
        <w:ind w:left="40" w:right="30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p>
      <w:pPr>
        <w:spacing w:after="0" w:line="20" w:lineRule="exact"/>
        <w:rPr>
          <w:rFonts w:ascii="Times New Roman" w:cs="Times New Roman" w:eastAsia="Times New Roman" w:hAnsi="Times New Roman"/>
          <w:sz w:val="12"/>
          <w:szCs w:val="12"/>
          <w:color w:val="008000"/>
        </w:rPr>
      </w:pPr>
    </w:p>
    <w:p>
      <w:pPr>
        <w:ind w:left="40" w:right="32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 between the Reporting Person and the entities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p>
      <w:pPr>
        <w:spacing w:after="0" w:line="13"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(5) Jennifer Chu is signing on behalf of Mr. Davis pursuant to the power of attorney dated August 16, 2025, which was previously filed with the Commission.</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04"/>
        </w:trPr>
        <w:tc>
          <w:tcPr>
            <w:tcW w:w="6560" w:type="dxa"/>
            <w:vAlign w:val="bottom"/>
          </w:tcPr>
          <w:p>
            <w:pPr>
              <w:spacing w:after="0"/>
              <w:rPr>
                <w:sz w:val="17"/>
                <w:szCs w:val="17"/>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Jennifer L. Chu,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06/18/2026</w:t>
            </w:r>
          </w:p>
        </w:tc>
        <w:tc>
          <w:tcPr>
            <w:tcW w:w="0" w:type="dxa"/>
            <w:vAlign w:val="bottom"/>
          </w:tcPr>
          <w:p>
            <w:pPr>
              <w:spacing w:after="0"/>
              <w:rPr>
                <w:sz w:val="1"/>
                <w:szCs w:val="1"/>
                <w:color w:val="auto"/>
              </w:rPr>
            </w:pPr>
          </w:p>
        </w:tc>
      </w:tr>
      <w:tr>
        <w:trPr>
          <w:trHeight w:val="85"/>
        </w:trPr>
        <w:tc>
          <w:tcPr>
            <w:tcW w:w="6560" w:type="dxa"/>
            <w:vAlign w:val="bottom"/>
          </w:tcPr>
          <w:p>
            <w:pPr>
              <w:spacing w:after="0"/>
              <w:rPr>
                <w:sz w:val="6"/>
                <w:szCs w:val="6"/>
                <w:color w:val="auto"/>
              </w:rPr>
            </w:pPr>
          </w:p>
        </w:tc>
        <w:tc>
          <w:tcPr>
            <w:tcW w:w="6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in-fact (5)</w:t>
            </w:r>
          </w:p>
        </w:tc>
        <w:tc>
          <w:tcPr>
            <w:tcW w:w="154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560" w:type="dxa"/>
            <w:vAlign w:val="bottom"/>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87"/>
        </w:trPr>
        <w:tc>
          <w:tcPr>
            <w:tcW w:w="87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5872" TargetMode="External"/><Relationship Id="rId14" Type="http://schemas.openxmlformats.org/officeDocument/2006/relationships/hyperlink" Target="http://www.sec.gov/cgi-bin/browse-edgar?action=getcompany&amp;CIK=0001880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2026-06-18T18:03:50Z</dcterms:created>
  <dcterms:modified xsi:type="dcterms:W3CDTF">2026-06-18T18:03:50Z</dcterms:modified>
</cp:coreProperties>
</file>