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Vazquez-Ubarri Anilu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Inc.</w:t>
              </w:r>
            </w:hyperlink>
            <w:r>
              <w:rPr/>
              <w:t xml:space="preserve"> [ </w:t>
            </w:r>
            <w:r>
              <w:rPr>
                <w:rFonts w:ascii="Times;serif" w:hAnsi="Times;serif"/>
                <w:color w:val="0000FF"/>
                <w:sz w:val="24"/>
                <w:shd w:fill="FFFFFF" w:val="clear"/>
              </w:rPr>
              <w:t>TPG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498"/>
        <w:gridCol w:w="303"/>
        <w:gridCol w:w="906"/>
        <w:gridCol w:w="801"/>
        <w:gridCol w:w="891"/>
        <w:gridCol w:w="636"/>
        <w:gridCol w:w="801"/>
        <w:gridCol w:w="96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TPG Partner Holdings, L.P.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A Common Stock</w:t>
            </w:r>
            <w:r>
              <w:rPr>
                <w:rFonts w:ascii="Times;serif" w:hAnsi="Times;serif"/>
                <w:color w:val="008000"/>
                <w:position w:val="7"/>
                <w:sz w:val="16"/>
                <w:sz w:val="20"/>
                <w:shd w:fill="FFFFFF" w:val="clear"/>
              </w:rPr>
              <w:t>(2)</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1,607,936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5, 2026, 155 additional units ("TPH Units") of TPG Partner Holdings, L.P. ("Partner Holdings") were allocated automatically to the Reporting Person in accordance with Partner Holdings' limited partnership agreement upon their forfeiture by a former partner of Partner Holdings.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Amended and Restated Exchange Agreement filed by TPG Inc. (the "Issuer") with the Securities and Exchange Commission (the "Commission") on November 2, 2023, TPH Units are ultimately exchangeable for cash or, at the Issuer's election, shares of Class A common stock of the Issuer on a one-for-one basis, subject to customary conversion rate adjustments and transfer restrictions (the "exchange consideration"). Upon an exchange of TPH Units, an equal number of Common Units of TPG Operating Group II, L.P. held by TPG Group Holdings (SBS), L.P. ("Group Holdings"), of which Partner Holdings is an indirect limited partner, are exchanged on a one-for-one basis for the exchange consideration, and an equal number of shares of Class B common stock of the Issuer also held by Group Holdings will be automatically cancelled for no additional consideration. Each share of Class B common stock entitles the holder to ten votes per share but carries no economic rights.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Jennifer Chu is signing on behalf of Ms. Vazquez-Ubarri pursuant to the power of attorney dated August 16, 2025, which was previously filed with the Commission.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 Chu, as attorney-in-fact(3)</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9068" TargetMode="External"/><Relationship Id="rId5" Type="http://schemas.openxmlformats.org/officeDocument/2006/relationships/hyperlink" Target="http://www.sec.gov/cgi-bin/browse-edgar?action=getcompany&amp;CIK=00018806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802</Words>
  <Characters>4346</Characters>
  <CharactersWithSpaces>5074</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