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8"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70"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6"/>
          <w:szCs w:val="16"/>
          <w:color w:val="auto"/>
        </w:rPr>
        <w:t>000-56717</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TPG Private Equity Opportunities, L.P.</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4"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4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99-4755034</w:t>
            </w:r>
          </w:p>
        </w:tc>
      </w:tr>
      <w:tr>
        <w:trPr>
          <w:trHeight w:val="216"/>
        </w:trPr>
        <w:tc>
          <w:tcPr>
            <w:tcW w:w="40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660" w:type="dxa"/>
            <w:vAlign w:val="bottom"/>
          </w:tcPr>
          <w:p>
            <w:pPr>
              <w:jc w:val="center"/>
              <w:ind w:left="22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4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301 Commerce Street, Suite 3300, Fort Worth, TX</w:t>
            </w:r>
          </w:p>
        </w:tc>
        <w:tc>
          <w:tcPr>
            <w:tcW w:w="466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76102</w:t>
            </w:r>
          </w:p>
        </w:tc>
      </w:tr>
      <w:tr>
        <w:trPr>
          <w:trHeight w:val="216"/>
        </w:trPr>
        <w:tc>
          <w:tcPr>
            <w:tcW w:w="40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660" w:type="dxa"/>
            <w:vAlign w:val="bottom"/>
          </w:tcPr>
          <w:p>
            <w:pPr>
              <w:jc w:val="center"/>
              <w:ind w:left="2239"/>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294"/>
        </w:trPr>
        <w:tc>
          <w:tcPr>
            <w:tcW w:w="4060" w:type="dxa"/>
            <w:vAlign w:val="bottom"/>
          </w:tcPr>
          <w:p>
            <w:pPr>
              <w:spacing w:after="0"/>
              <w:rPr>
                <w:sz w:val="24"/>
                <w:szCs w:val="24"/>
                <w:color w:val="auto"/>
              </w:rPr>
            </w:pPr>
          </w:p>
        </w:tc>
        <w:tc>
          <w:tcPr>
            <w:tcW w:w="4660" w:type="dxa"/>
            <w:vAlign w:val="bottom"/>
          </w:tcPr>
          <w:p>
            <w:pPr>
              <w:jc w:val="right"/>
              <w:ind w:right="3379"/>
              <w:spacing w:after="0"/>
              <w:rPr>
                <w:sz w:val="20"/>
                <w:szCs w:val="20"/>
                <w:color w:val="auto"/>
              </w:rPr>
            </w:pPr>
            <w:r>
              <w:rPr>
                <w:rFonts w:ascii="Times New Roman" w:cs="Times New Roman" w:eastAsia="Times New Roman" w:hAnsi="Times New Roman"/>
                <w:sz w:val="16"/>
                <w:szCs w:val="16"/>
                <w:b w:val="1"/>
                <w:bCs w:val="1"/>
                <w:color w:val="auto"/>
              </w:rPr>
              <w:t>(817) 871-4000</w:t>
            </w:r>
          </w:p>
        </w:tc>
      </w:tr>
    </w:tbl>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367"/>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0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8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bl>
    <w:p>
      <w:pPr>
        <w:spacing w:after="0" w:line="194"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73"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5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680" w:type="dxa"/>
        <w:tblCellMar>
          <w:top w:w="0" w:type="dxa"/>
          <w:left w:w="0" w:type="dxa"/>
          <w:bottom w:w="0" w:type="dxa"/>
          <w:right w:w="0" w:type="dxa"/>
        </w:tblCellMar>
      </w:tblPr>
      <w:tr>
        <w:trPr>
          <w:trHeight w:val="22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52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Accelerated filer</w:t>
            </w:r>
          </w:p>
        </w:tc>
        <w:tc>
          <w:tcPr>
            <w:tcW w:w="780" w:type="dxa"/>
            <w:vAlign w:val="bottom"/>
          </w:tcPr>
          <w:p>
            <w:pPr>
              <w:ind w:left="600"/>
              <w:spacing w:after="0"/>
              <w:rPr>
                <w:sz w:val="20"/>
                <w:szCs w:val="20"/>
                <w:color w:val="auto"/>
              </w:rPr>
            </w:pPr>
            <w:r>
              <w:rPr>
                <w:rFonts w:ascii="Wingdings" w:cs="Wingdings" w:eastAsia="Wingdings" w:hAnsi="Wingdings"/>
                <w:sz w:val="16"/>
                <w:szCs w:val="16"/>
                <w:b w:val="1"/>
                <w:bCs w:val="1"/>
                <w:color w:val="auto"/>
              </w:rPr>
              <w:t>o</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36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80" w:type="dxa"/>
            <w:vAlign w:val="bottom"/>
          </w:tcPr>
          <w:p>
            <w:pPr>
              <w:ind w:left="600"/>
              <w:spacing w:after="0"/>
              <w:rPr>
                <w:sz w:val="20"/>
                <w:szCs w:val="20"/>
                <w:color w:val="auto"/>
              </w:rPr>
            </w:pPr>
            <w:r>
              <w:rPr>
                <w:rFonts w:ascii="Wingdings" w:cs="Wingdings" w:eastAsia="Wingdings" w:hAnsi="Wingdings"/>
                <w:sz w:val="16"/>
                <w:szCs w:val="16"/>
                <w:b w:val="1"/>
                <w:bCs w:val="1"/>
                <w:color w:val="auto"/>
              </w:rPr>
              <w:t>o</w:t>
            </w:r>
          </w:p>
        </w:tc>
      </w:tr>
      <w:tr>
        <w:trPr>
          <w:trHeight w:val="216"/>
        </w:trPr>
        <w:tc>
          <w:tcPr>
            <w:tcW w:w="1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80" w:type="dxa"/>
            <w:vAlign w:val="bottom"/>
          </w:tcPr>
          <w:p>
            <w:pPr>
              <w:ind w:left="6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9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115" w:lineRule="exact"/>
        <w:rPr>
          <w:sz w:val="24"/>
          <w:szCs w:val="24"/>
          <w:color w:val="auto"/>
        </w:rPr>
      </w:pPr>
    </w:p>
    <w:p>
      <w:pPr>
        <w:spacing w:after="0" w:line="351" w:lineRule="auto"/>
        <w:rPr>
          <w:sz w:val="20"/>
          <w:szCs w:val="20"/>
          <w:color w:val="auto"/>
        </w:rPr>
      </w:pPr>
      <w:r>
        <w:rPr>
          <w:rFonts w:ascii="Times New Roman" w:cs="Times New Roman" w:eastAsia="Times New Roman" w:hAnsi="Times New Roman"/>
          <w:sz w:val="16"/>
          <w:szCs w:val="16"/>
          <w:color w:val="auto"/>
        </w:rPr>
        <w:t>As of May 11, 2026, the Registrant had the following limited partnership units outstanding: 28,473,356 units of Class R-I, 16,992,919 units of Class R-S, 348,256 units of Class R-D, and 1,235,424 units of Class 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gridSpan w:val="14"/>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2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051F2"/>
              </w:rPr>
              <w:t>6</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w:t>
            </w:r>
          </w:p>
        </w:tc>
        <w:tc>
          <w:tcPr>
            <w:tcW w:w="12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051F2"/>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500" w:type="dxa"/>
            <w:vAlign w:val="bottom"/>
            <w:gridSpan w:val="24"/>
          </w:tcPr>
          <w:p>
            <w:pPr>
              <w:ind w:left="80"/>
              <w:spacing w:after="0"/>
              <w:rPr>
                <w:sz w:val="20"/>
                <w:szCs w:val="20"/>
                <w:color w:val="auto"/>
              </w:rPr>
            </w:pPr>
            <w:r>
              <w:rPr>
                <w:rFonts w:ascii="Times New Roman" w:cs="Times New Roman" w:eastAsia="Times New Roman" w:hAnsi="Times New Roman"/>
                <w:sz w:val="18"/>
                <w:szCs w:val="18"/>
                <w:color w:val="auto"/>
              </w:rPr>
              <w:t>Unaudited Condensed Financial Statements of TPG Private Equity Opportunities, L.P.:</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Condensed Statements of Assets and Liabilities as of March 31, 2026 and December 31, 2025</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3051F2"/>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 of Operations for the Three Months Ended March 31, 2026</w:t>
            </w:r>
          </w:p>
        </w:tc>
        <w:tc>
          <w:tcPr>
            <w:tcW w:w="2500" w:type="dxa"/>
            <w:vAlign w:val="bottom"/>
            <w:gridSpan w:val="6"/>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051F2"/>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Statement of Changes in Net Assets for the Three Months Ended March 31, 2026</w:t>
            </w:r>
          </w:p>
        </w:tc>
        <w:tc>
          <w:tcPr>
            <w:tcW w:w="2500" w:type="dxa"/>
            <w:vAlign w:val="bottom"/>
            <w:gridSpan w:val="6"/>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051F2"/>
              </w:rPr>
              <w:t>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Condensed Statement of Cash Flows for the Three Months Ended March 31, 2026</w:t>
            </w:r>
          </w:p>
        </w:tc>
        <w:tc>
          <w:tcPr>
            <w:tcW w:w="840" w:type="dxa"/>
            <w:vAlign w:val="bottom"/>
            <w:gridSpan w:val="3"/>
          </w:tcPr>
          <w:p>
            <w:pPr>
              <w:spacing w:after="0"/>
              <w:rPr>
                <w:sz w:val="18"/>
                <w:szCs w:val="18"/>
                <w:color w:val="auto"/>
              </w:rPr>
            </w:pPr>
          </w:p>
        </w:tc>
        <w:tc>
          <w:tcPr>
            <w:tcW w:w="2500" w:type="dxa"/>
            <w:vAlign w:val="bottom"/>
            <w:gridSpan w:val="6"/>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051F2"/>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Schedules of Investment as of March 31, 2026 and December 31,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2940" w:type="dxa"/>
            <w:vAlign w:val="bottom"/>
            <w:gridSpan w:val="5"/>
          </w:tcPr>
          <w:p>
            <w:pPr>
              <w:spacing w:after="0"/>
              <w:rPr>
                <w:sz w:val="18"/>
                <w:szCs w:val="18"/>
                <w:color w:val="auto"/>
              </w:rPr>
            </w:pPr>
          </w:p>
        </w:tc>
        <w:tc>
          <w:tcPr>
            <w:tcW w:w="3260" w:type="dxa"/>
            <w:vAlign w:val="bottom"/>
            <w:gridSpan w:val="8"/>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051F2"/>
                <w:w w:val="88"/>
              </w:rPr>
              <w:t>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00" w:type="dxa"/>
            <w:vAlign w:val="bottom"/>
            <w:gridSpan w:val="24"/>
          </w:tcPr>
          <w:p>
            <w:pPr>
              <w:ind w:left="80"/>
              <w:spacing w:after="0"/>
              <w:rPr>
                <w:sz w:val="20"/>
                <w:szCs w:val="20"/>
                <w:color w:val="auto"/>
              </w:rPr>
            </w:pPr>
            <w:r>
              <w:rPr>
                <w:rFonts w:ascii="Times New Roman" w:cs="Times New Roman" w:eastAsia="Times New Roman" w:hAnsi="Times New Roman"/>
                <w:sz w:val="18"/>
                <w:szCs w:val="18"/>
                <w:color w:val="auto"/>
              </w:rPr>
              <w:t>Unaudited Condensed Consolidated Financial Statements of T-POP US Aggregator (CYM),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60" w:type="dxa"/>
            <w:vAlign w:val="bottom"/>
            <w:tcBorders>
              <w:bottom w:val="single" w:sz="8" w:color="0000FF"/>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Statements of Assets and Liabilities as of March 31, 2026 and December 31, 2025</w:t>
            </w:r>
          </w:p>
        </w:tc>
        <w:tc>
          <w:tcPr>
            <w:tcW w:w="1440" w:type="dxa"/>
            <w:vAlign w:val="bottom"/>
          </w:tcPr>
          <w:p>
            <w:pPr>
              <w:spacing w:after="0"/>
              <w:rPr>
                <w:sz w:val="16"/>
                <w:szCs w:val="16"/>
                <w:color w:val="auto"/>
              </w:rPr>
            </w:pPr>
          </w:p>
        </w:tc>
        <w:tc>
          <w:tcPr>
            <w:tcW w:w="180" w:type="dxa"/>
            <w:vAlign w:val="bottom"/>
            <w:tcBorders>
              <w:bottom w:val="single" w:sz="8" w:color="3051F2"/>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3051F2"/>
                <w:w w:val="88"/>
              </w:rPr>
              <w:t>21</w:t>
            </w: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Three Months Ended March 31, 2026</w:t>
            </w:r>
          </w:p>
        </w:tc>
        <w:tc>
          <w:tcPr>
            <w:tcW w:w="2340" w:type="dxa"/>
            <w:vAlign w:val="bottom"/>
            <w:gridSpan w:val="5"/>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Net Assets for the Three Months Ended March 31, 2026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2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Three Months Ended March 31, 2026</w:t>
            </w:r>
          </w:p>
        </w:tc>
        <w:tc>
          <w:tcPr>
            <w:tcW w:w="760" w:type="dxa"/>
            <w:vAlign w:val="bottom"/>
            <w:tcBorders>
              <w:top w:val="single" w:sz="8" w:color="0000FF"/>
            </w:tcBorders>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80" w:type="dxa"/>
            <w:vAlign w:val="bottom"/>
            <w:tcBorders>
              <w:top w:val="single" w:sz="8" w:color="3051F2"/>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Schedules of Investments as of March 31, 2026 and December 31, 2025</w:t>
            </w:r>
          </w:p>
        </w:tc>
        <w:tc>
          <w:tcPr>
            <w:tcW w:w="2180" w:type="dxa"/>
            <w:vAlign w:val="bottom"/>
            <w:gridSpan w:val="3"/>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6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40" w:type="dxa"/>
            <w:vAlign w:val="bottom"/>
            <w:gridSpan w:val="7"/>
          </w:tcPr>
          <w:p>
            <w:pPr>
              <w:spacing w:after="0"/>
              <w:rPr>
                <w:sz w:val="24"/>
                <w:szCs w:val="24"/>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42</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7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40" w:type="dxa"/>
            <w:vAlign w:val="bottom"/>
            <w:gridSpan w:val="10"/>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4.</w:t>
            </w:r>
          </w:p>
        </w:tc>
        <w:tc>
          <w:tcPr>
            <w:tcW w:w="12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860" w:type="dxa"/>
            <w:vAlign w:val="bottom"/>
            <w:gridSpan w:val="5"/>
          </w:tcPr>
          <w:p>
            <w:pPr>
              <w:spacing w:after="0"/>
              <w:rPr>
                <w:sz w:val="24"/>
                <w:szCs w:val="24"/>
                <w:color w:val="auto"/>
              </w:rPr>
            </w:pPr>
          </w:p>
        </w:tc>
        <w:tc>
          <w:tcPr>
            <w:tcW w:w="14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8140" w:type="dxa"/>
            <w:vAlign w:val="bottom"/>
            <w:gridSpan w:val="18"/>
          </w:tcPr>
          <w:p>
            <w:pPr>
              <w:spacing w:after="0"/>
              <w:rPr>
                <w:sz w:val="24"/>
                <w:szCs w:val="24"/>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62</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7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60" w:type="dxa"/>
            <w:vAlign w:val="bottom"/>
            <w:gridSpan w:val="19"/>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6"/>
              </w:rPr>
              <w:t>Item 1A.</w:t>
            </w:r>
          </w:p>
        </w:tc>
        <w:tc>
          <w:tcPr>
            <w:tcW w:w="6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1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7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60" w:type="dxa"/>
            <w:vAlign w:val="bottom"/>
            <w:gridSpan w:val="11"/>
          </w:tcPr>
          <w:p>
            <w:pPr>
              <w:spacing w:after="0"/>
              <w:rPr>
                <w:sz w:val="18"/>
                <w:szCs w:val="18"/>
                <w:color w:val="auto"/>
              </w:rPr>
            </w:pPr>
          </w:p>
        </w:tc>
        <w:tc>
          <w:tcPr>
            <w:tcW w:w="180" w:type="dxa"/>
            <w:vAlign w:val="bottom"/>
            <w:tcBorders>
              <w:top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80" w:type="dxa"/>
            <w:vAlign w:val="bottom"/>
            <w:gridSpan w:val="14"/>
          </w:tcPr>
          <w:p>
            <w:pPr>
              <w:spacing w:after="0"/>
              <w:rPr>
                <w:sz w:val="18"/>
                <w:szCs w:val="18"/>
                <w:color w:val="auto"/>
              </w:rPr>
            </w:pPr>
          </w:p>
        </w:tc>
        <w:tc>
          <w:tcPr>
            <w:tcW w:w="180" w:type="dxa"/>
            <w:vAlign w:val="bottom"/>
            <w:tcBorders>
              <w:top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240" w:type="dxa"/>
            <w:vAlign w:val="bottom"/>
            <w:tcBorders>
              <w:top w:val="single" w:sz="8" w:color="auto"/>
            </w:tcBorders>
            <w:gridSpan w:val="2"/>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5"/>
          </w:tcPr>
          <w:p>
            <w:pPr>
              <w:spacing w:after="0"/>
              <w:rPr>
                <w:sz w:val="18"/>
                <w:szCs w:val="18"/>
                <w:color w:val="auto"/>
              </w:rPr>
            </w:pPr>
          </w:p>
        </w:tc>
        <w:tc>
          <w:tcPr>
            <w:tcW w:w="7740" w:type="dxa"/>
            <w:vAlign w:val="bottom"/>
            <w:gridSpan w:val="15"/>
          </w:tcPr>
          <w:p>
            <w:pPr>
              <w:spacing w:after="0"/>
              <w:rPr>
                <w:sz w:val="18"/>
                <w:szCs w:val="18"/>
                <w:color w:val="auto"/>
              </w:rPr>
            </w:pPr>
          </w:p>
        </w:tc>
        <w:tc>
          <w:tcPr>
            <w:tcW w:w="180" w:type="dxa"/>
            <w:vAlign w:val="bottom"/>
            <w:tcBorders>
              <w:top w:val="single" w:sz="8" w:color="3051F2"/>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7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900" w:type="dxa"/>
            <w:vAlign w:val="bottom"/>
            <w:gridSpan w:val="22"/>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65</w:t>
            </w:r>
          </w:p>
        </w:tc>
        <w:tc>
          <w:tcPr>
            <w:tcW w:w="20" w:type="dxa"/>
            <w:vAlign w:val="bottom"/>
          </w:tcPr>
          <w:p>
            <w:pPr>
              <w:spacing w:after="0"/>
              <w:rPr>
                <w:sz w:val="18"/>
                <w:szCs w:val="18"/>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1933 Act, and Section 21E of the Securities Exchange Act of 1934, as amended (the “Exchange Act”), which involve certain known and unknown risks and uncertainties. Forward-looking statements predict or describe TPG Private Equity Opportunities Fund, L.P.’s (the “Fund’s”) future operations, business plans, business and investment strategies and portfolio management and the performance of the Fund’s investments. These forward-looking statements are generally identified by their use of such terms and phrases as “intend,” “goal,” “estimate,” “expect,” “remain,” “project,” “projections,” “plans,” “seeks,” “anticipates,” “will,” “should,” “could,” “may,” “designed to,” “foreseeable future,” “believe,” “scheduled” and similar expressions. The Fund’s actual results or outcomes may differ materially from those anticipated. You are cautioned not to place undue reliance on these forward-looking statements, which speak only as of the date the statement was made. Investors should not rely on these statements as if they were fact. The Fund assumes no obligation to publicly update or revise any forward-looking statements, whether as a result of new information, future events or otherwise, except as required by law. The forward-looking statements contained in this Quarterly Report on Form 10-Q may include statements as to:</w:t>
      </w:r>
    </w:p>
    <w:p>
      <w:pPr>
        <w:spacing w:after="0" w:line="1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business prospects and the prospects of the portfolio companies in which the Fund indirectly invests;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acquisitions of investments that the Fund expects to make;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raise sufficient capital to execute our acquisition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Management Company to source adequate investment opportunities to efficiently deploy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of the Fund’s investments across sector, geography, industry, market capitalization, and transaction type;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current and expected financing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 and inflation;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Fund’s cash resources, financing sources and working capital;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and national economic and market conditions generally upon our operating results, including, but not limited to, changes with respect to inflation, interest rate changes and supply chain disruptions, geopolitical uncertainty (including the imposition of tariffs and counter-tariffs), and changes in government rules, regulations and fiscal policies;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cash flows, distributions and dividends, if any, from the Fund’s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conflicts of interest with the Management Company or any of its affiliates;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the Fund’s future success on the general economy and its effect on the industries in the portfolio companies in which the Fund invests;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use of financial leverage;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continue to offer quarterly redemptions, and satisfy redemption requests, pursuant to its redemption program, including the impact of any such redemptions on the Fund’s liquidity;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Management Company or its affiliates to monitor and administer the Fund’s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Management Company or its affiliates to attract and retain highly talented professionals;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structure acquisitions in a tax-efficient manner and the effect of changes to tax legislation and its tax position.</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the Fund believes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any projection or forward-looking statement in this Quarterly Report on Form 10-Q should not be regarded as a representation by the Fund that its plans and objectives will be achieved. These risks and uncertainties include, but are not limited to, those described in “Item 1A.—Risk Factors” herein and in our Annual Report on Form 10-K for the year ended December 31, 2025 filed with the United States Securities and Exchange Commission (“SEC”) on March 23, 2026, which is accessible on the SEC’s website at https://www.sec.gov and on our website at www.tpop.tpg.com, and “Item 2.—Management’s Discussion and Analysis of Financial Condition and Results of Operations.”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Moreover, the Fund assumes no duty and does not undertake to update the forward-looking statements, except as required by applicable law. Our website contains additional information about our business, but the contents of the website are not incorporated by reference in, or otherwise a part of, this report.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TERMS USED IN THIS REPORT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225" w:lineRule="exact"/>
        <w:rPr>
          <w:sz w:val="20"/>
          <w:szCs w:val="20"/>
          <w:color w:val="auto"/>
        </w:rPr>
      </w:pPr>
    </w:p>
    <w:p>
      <w:pPr>
        <w:ind w:left="980" w:right="2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“Aggregator” refers to T-POP US Aggregator (CYM), L.P., a Cayman Islands exempted limited partnership, in which the Registrant (as defined below) and other parallel investment entities (“Parallel Investment Entities” or individually “Parallel Investment Entity”) invest;</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“Registrant” refers to TPG Private Equity Opportunities, L.P., a Delaware limited partnership, which is generally being offered to U.S. taxable investors, and that invests all or substantially all of its assets in the Aggregator;</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“Feeder TE” refers to TPG Private Equity Opportunities (TE), L.P., a Delaware limited partnership, which is generally being offered to non-U.S. investors and U.S. tax-exempt investors, and that invests all or substantially all of its assets indirectly in Class R-I Units (as defined below) of the Registrant;</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“Fund” and “T-POP” refer to the Registrant;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“T-POP Fund Complex” refers collectively to the Registrant, Feeder TE, the Parallel Investment Entities and the Aggregator;</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“General Partner” refers to TPG Private Equity Opportunities GenPar, L.P., a Delaware limited partnership, as the general partner of each Partnership;</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“Limited Partners” refers to the limited partners of T-POP, and references to the “applicable Partnership” mean that particular Partnership in which such Limited Partner invests and, unless the context otherwise requires, any subsidiaries thereof;</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“Management Company” refers to T-POP Management Company, LLC, a Delaware limited liability company which is responsible for portfolio management for the Fund;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“Transactional NAV” refers to the price at which transactions in the Fund’s Units (as defined below) are made (as the context requires), calculated in accordance with a valuation policy that has been approved by the Registrant’s board of directors (“Board of Directors” or “Board”);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“TPG” and “Firm” refer collectively to TPG Operating Group I, L.P., TPG Operating Group II, L.P., TPG Operating Group III, L.P. (collectively, “TPG Operating Group”) and Angelo, Gordon &amp; Co., L.P. and their controlled funds, general partners and management companies and any of their affiliates, including TPG Inc.;</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“Units” refers to the classes of the Fund’s limited partnership units: Class S (“Class S” or the “Class S Units”), Class D (“Class D” or the “Class D Units”), Class I (“Class I” or the “Class I Units”), Class R-S (“Class R-S” or the “Class R-S Units”), Class R-D (“Class R-D” or the “Class R-D Units”), and Class R-I (“Class R-I” or the “Class R-I Units”) and Class F (“Class F” or the “Class F Units”) (each a “Class”); and</w:t>
      </w:r>
    </w:p>
    <w:p>
      <w:pPr>
        <w:spacing w:after="0" w:line="1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“Investor Units” refers to Class S, Class D, Class I, Class R-S, Class R-D, Class R-I collectively;</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“T-POP Investment Holdings Entities” refers to funds that the T-POP Fund Complex invests in.</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Registrant is an emerging growth company as defined in the Jumpstart Our Business Startups Act of 2012 (the “JOBS Act”) and the Registrant takes advantage of the extended transition period provided in Section 7(a)(2)(B) of the Securities Act of 1933, as amended (the “1933 Act”).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Assets and Liabilities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Unit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176"/>
        </w:trPr>
        <w:tc>
          <w:tcPr>
            <w:tcW w:w="7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Investment in T-POP US Aggregator (CYM), L.P. (Cost $1,202,776 as of March 31, 2026;</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$894,810 as of December 31, 2025)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1,381,968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1,050,500</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1,382,238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1,051,028</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Organizational and Offering Costs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Fees Payable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w:t>
            </w: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Fee Payable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33,016</w:t>
            </w:r>
          </w:p>
        </w:tc>
      </w:tr>
      <w:tr>
        <w:trPr>
          <w:trHeight w:val="236"/>
        </w:trPr>
        <w:tc>
          <w:tcPr>
            <w:tcW w:w="7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56"/>
        </w:trPr>
        <w:tc>
          <w:tcPr>
            <w:tcW w:w="7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75"/>
        </w:trPr>
        <w:tc>
          <w:tcPr>
            <w:tcW w:w="7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Limited Partnership Units - Class R-I, unlimited Units authorized, (26,643,440 Units issued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and outstanding as of March 31, 2026; 20,070,838 Units issued and outstanding as of</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829,307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613,267</w:t>
            </w:r>
          </w:p>
        </w:tc>
      </w:tr>
      <w:tr>
        <w:trPr>
          <w:trHeight w:val="175"/>
        </w:trPr>
        <w:tc>
          <w:tcPr>
            <w:tcW w:w="7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Limited Partnership Units - Class R-S, unlimited Units authorized, (15,993,256 Units issued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and outstanding as of March 31, 2026; 12,446,958 Units issued and outstanding as of</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482,691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369,354</w:t>
            </w:r>
          </w:p>
        </w:tc>
      </w:tr>
      <w:tr>
        <w:trPr>
          <w:trHeight w:val="175"/>
        </w:trPr>
        <w:tc>
          <w:tcPr>
            <w:tcW w:w="7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Limited Partnership Units - Class R-D, unlimited Units authorized, (332,250 Units issued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outstanding as of March 31, 2026; 170,356 Units issued and outstanding as of December 31,</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r>
      <w:tr>
        <w:trPr>
          <w:trHeight w:val="175"/>
        </w:trPr>
        <w:tc>
          <w:tcPr>
            <w:tcW w:w="7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Limited Partnership Units - Class F, unlimited Units authorized, (1,235,417 Units issued and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outstanding as of March 31, 2026; 969,858 Units issued and outstanding as of December 31,</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30,196</w:t>
            </w:r>
          </w:p>
        </w:tc>
      </w:tr>
      <w:tr>
        <w:trPr>
          <w:trHeight w:val="223"/>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1,018,012</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1,382,238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1,051,028</w:t>
            </w:r>
          </w:p>
        </w:tc>
      </w:tr>
      <w:tr>
        <w:trPr>
          <w:trHeight w:val="21"/>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TPG Private Equity Opportunities, L.P.</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Statement of Operations (unaudited)</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56"/>
        </w:trPr>
        <w:tc>
          <w:tcPr>
            <w:tcW w:w="8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Participation Allocation</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Offering Costs Amortization</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 Fee Expense</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3"/>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37"/>
        </w:trPr>
        <w:tc>
          <w:tcPr>
            <w:tcW w:w="8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 (Loss)</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Unrealized Gain (Loss) on Investments</w:t>
            </w: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 (Loss) on Investment in T-POP US Aggregator (CYM) L.P.</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Change in Unrealized Gain (Loss)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w:t>
            </w:r>
          </w:p>
        </w:tc>
      </w:tr>
      <w:tr>
        <w:trPr>
          <w:trHeight w:val="236"/>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Changes in Net Assets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R-S</w:t>
            </w:r>
          </w:p>
        </w:tc>
        <w:tc>
          <w:tcPr>
            <w:tcW w:w="140" w:type="dxa"/>
            <w:vAlign w:val="bottom"/>
          </w:tcPr>
          <w:p>
            <w:pPr>
              <w:spacing w:after="0"/>
              <w:rPr>
                <w:sz w:val="16"/>
                <w:szCs w:val="16"/>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R-D</w:t>
            </w:r>
          </w:p>
        </w:tc>
        <w:tc>
          <w:tcPr>
            <w:tcW w:w="16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Class R-I</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6"/>
                <w:szCs w:val="16"/>
                <w:color w:val="auto"/>
              </w:rPr>
            </w:pPr>
          </w:p>
        </w:tc>
        <w:tc>
          <w:tcPr>
            <w:tcW w:w="90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F Units</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613,267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1,018,012</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325,245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Change in Unrealized Gain (Loss) on Investment in 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POP US Aggregator (CYM) L.P.</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Fees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w:t>
            </w:r>
          </w:p>
        </w:tc>
      </w:tr>
      <w:tr>
        <w:trPr>
          <w:trHeight w:val="176"/>
        </w:trPr>
        <w:tc>
          <w:tcPr>
            <w:tcW w:w="818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Increase in Net Assets From Operations to Net Cash Used in</w:t>
            </w:r>
          </w:p>
        </w:tc>
        <w:tc>
          <w:tcPr>
            <w:tcW w:w="1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r>
      <w:tr>
        <w:trPr>
          <w:trHeight w:val="229"/>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Change in Unrealized (Gain) / Loss on Investment in T-POP US Aggregator (CYM) L.P.</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(28,915)</w:t>
            </w:r>
          </w:p>
        </w:tc>
      </w:tr>
      <w:tr>
        <w:trPr>
          <w:trHeight w:val="229"/>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Deferred Offering Costs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Class F Units Issued as Payment of Directors' Fees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(316,834)</w:t>
            </w:r>
          </w:p>
        </w:tc>
      </w:tr>
      <w:tr>
        <w:trPr>
          <w:trHeight w:val="230"/>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Cash Flows due to Changes in Operating Assets and Liabilities: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r>
      <w:tr>
        <w:trPr>
          <w:trHeight w:val="229"/>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 Other Assets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 Accrued Performance Participation Allocation</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29"/>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Management Fees Payable</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(314,812)</w:t>
            </w:r>
          </w:p>
        </w:tc>
      </w:tr>
      <w:tr>
        <w:trPr>
          <w:trHeight w:val="237"/>
        </w:trPr>
        <w:tc>
          <w:tcPr>
            <w:tcW w:w="8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issuance of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316,834</w:t>
            </w:r>
          </w:p>
        </w:tc>
      </w:tr>
      <w:tr>
        <w:trPr>
          <w:trHeight w:val="230"/>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of Units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3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Payment of servicing fees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314,812</w:t>
            </w:r>
          </w:p>
        </w:tc>
      </w:tr>
      <w:tr>
        <w:trPr>
          <w:trHeight w:val="236"/>
        </w:trPr>
        <w:tc>
          <w:tcPr>
            <w:tcW w:w="8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F Units issued to settle Accrued Performance Participation Allocation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Servicing Fees Payable</w:t>
            </w:r>
          </w:p>
        </w:tc>
        <w:tc>
          <w:tcPr>
            <w:tcW w:w="16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Schedules of Investment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Unit Data)</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center"/>
              <w:ind w:left="176"/>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Type of</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160" w:type="dxa"/>
            <w:vAlign w:val="bottom"/>
            <w:gridSpan w:val="2"/>
            <w:vMerge w:val="continue"/>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Geography</w:t>
            </w:r>
            <w:r>
              <w:rPr>
                <w:rFonts w:ascii="Times New Roman" w:cs="Times New Roman" w:eastAsia="Times New Roman" w:hAnsi="Times New Roman"/>
                <w:sz w:val="21"/>
                <w:szCs w:val="21"/>
                <w:b w:val="1"/>
                <w:bCs w:val="1"/>
                <w:color w:val="auto"/>
                <w:w w:val="96"/>
                <w:vertAlign w:val="superscript"/>
              </w:rPr>
              <w:t>(a)</w:t>
            </w:r>
          </w:p>
        </w:tc>
        <w:tc>
          <w:tcPr>
            <w:tcW w:w="1140" w:type="dxa"/>
            <w:vAlign w:val="bottom"/>
            <w:gridSpan w:val="2"/>
            <w:vMerge w:val="continue"/>
          </w:tcPr>
          <w:p>
            <w:pPr>
              <w:spacing w:after="0"/>
              <w:rPr>
                <w:sz w:val="14"/>
                <w:szCs w:val="14"/>
                <w:color w:val="auto"/>
              </w:rPr>
            </w:pP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 ($)</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14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260" w:type="dxa"/>
            <w:vAlign w:val="bottom"/>
            <w:gridSpan w:val="3"/>
            <w:vMerge w:val="continue"/>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Investment in T-POP US Aggregator (CYM) L.P.</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(42,780,666 Units)</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Investee Fund</w:t>
            </w:r>
          </w:p>
        </w:tc>
        <w:tc>
          <w:tcPr>
            <w:tcW w:w="11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1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14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2"/>
              </w:rPr>
              <w:t>NAV</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1,381,968</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101.5 %</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(Cost $1,202,776)</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gridSpan w:val="4"/>
            <w:vMerge w:val="restart"/>
          </w:tcPr>
          <w:p>
            <w:pPr>
              <w:jc w:val="center"/>
              <w:ind w:left="176"/>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Type of</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160" w:type="dxa"/>
            <w:vAlign w:val="bottom"/>
            <w:gridSpan w:val="2"/>
            <w:vMerge w:val="continue"/>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Geography</w:t>
            </w:r>
            <w:r>
              <w:rPr>
                <w:rFonts w:ascii="Times New Roman" w:cs="Times New Roman" w:eastAsia="Times New Roman" w:hAnsi="Times New Roman"/>
                <w:sz w:val="21"/>
                <w:szCs w:val="21"/>
                <w:b w:val="1"/>
                <w:bCs w:val="1"/>
                <w:color w:val="auto"/>
                <w:w w:val="96"/>
                <w:vertAlign w:val="superscript"/>
              </w:rPr>
              <w:t>(a)</w:t>
            </w:r>
          </w:p>
        </w:tc>
        <w:tc>
          <w:tcPr>
            <w:tcW w:w="1140" w:type="dxa"/>
            <w:vAlign w:val="bottom"/>
            <w:gridSpan w:val="2"/>
            <w:vMerge w:val="continue"/>
          </w:tcPr>
          <w:p>
            <w:pPr>
              <w:spacing w:after="0"/>
              <w:rPr>
                <w:sz w:val="14"/>
                <w:szCs w:val="14"/>
                <w:color w:val="auto"/>
              </w:rPr>
            </w:pP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 ($)</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14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260" w:type="dxa"/>
            <w:vAlign w:val="bottom"/>
            <w:gridSpan w:val="3"/>
            <w:vMerge w:val="continue"/>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Investment in T-POP US Aggregator (CYM) L.P.</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(33,286,504 Units)</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Investee Fund</w:t>
            </w:r>
          </w:p>
        </w:tc>
        <w:tc>
          <w:tcPr>
            <w:tcW w:w="11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1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14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2"/>
              </w:rPr>
              <w:t>NAV</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1,050,500</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(Cost $894,810)</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3. “Investment in the Aggregator” for details on TPG Private Equity Opportunities, L.P.’s proportional share of investments through investees.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Private Equity Opportunities, L.P. (“T-POP” or the “Fund”) is a Delaware limited partnership formed on August 30, 2024 as a private fund exempt from registration under Section 3(c)(7) of the Investment Company Act of 1940, as amended (the “1940 Act”). T-POP’s investment objective is to generate investment returns by providing its Limited Partners with broad exposure to investments across the private equity strategies of TPG Inc. (“TPG”). Structured as a perpetual life investment solution, T-POP accepts fully funded subscriptions monthly and aims to provide limited partners a liquidity option by means of a quarterly redemption program.</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T-POP conducts a continuous private offering of its units in reliance on exemptions from the registration requirements of the Securities Act of 1933, as amended (“1933 Act”), to investors that are both (a) accredited investors (as defined in Regulation D under the 1933 Act) and (b) qualified purchasers (as defined in the 1940 Act and the rules thereunder).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Private Equity Opportunities (TE) L.P. (the “Feeder”), a Delaware limited partnership, invests all or substantially all of its assets in T-POP. The Feeder was established for certain investors with particular tax characteristics, such as tax-exempt investors and certain non-U.S. investors.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T-POP US Aggregator (CYM), L.P. is a Cayman Islands exempted limited partnership formed on September 3, 2024. T-POP US Aggregator (CYM), L.P. with its consolidated subsidiaries collectively form the “Aggregator”. The Aggregator operates in accordance with its limited partnership agreement (the “Aggregator Partnership Agreement”). T-POP and other parallel investment entities (“Parallel Investment Entities” or individually “Parallel Investment Entity”) invest all or substantially all of their assets through their investments in the Aggregator. The Condensed Consolidated Financial Statements of the Aggregator, including the Condensed Consolidated Schedule of Investments, are an integral part of T-POP’s financial statements and are included following these financial statements. T-POP, the Feeder, the Aggregator and its consolidated subsidiaries and any Parallel Investment Entity collectively form the “T-POP Fund Complex”.</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Investment operations commenced on June 2, 2025 (the “Commencement of Operations” or “Initial Closing Date”), when T-POP first sold Units in its continuous private offering and began investing. T-POP’s fiscal year-end is December 31.</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Private Equity Opportunities GenPar, L.P., a Delaware limited partnership, is the general partner (the “General Partner”) of T-POP, Feeder TE and the Aggregator. Overall responsibility for oversight of T-POP rests with the General Partner, subject to certain oversight rights held by T-POP’s board of directors. The General Partner delegates T-POP’s portfolio management function to T-POP Management Company, LLC (the “Management Company”), a Delaware limited liability company. The Management Company has discretion to make investments on behalf of T-POP and is responsible for initiating, structuring and negotiating T-POP’s investments, as well as actively managing each investment to seek to maximize value. Both the General Partner and the Management Company are subsidiaries of TPG.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unaudited condensed financial statements (the “Condensed Financial Statements”) of T-POP have been prepared in accordance with accounting principles generally accepted in the United States of America (“GAAP”) and the instructions to Form 10-Q and reflect all adjustments, consisting only of normal recurring adjustments, which are, in the opinion of management, necessary for a fair presentation of the Condensed Financial Statements. T-POP is considered an investment company under GAAP and follows the accounting and reporting guidance applicable to investment companies in the Financial Accounting Standards Board Accounting Standards Codification (“ASC”) Topic 946, </w:t>
      </w:r>
      <w:r>
        <w:rPr>
          <w:rFonts w:ascii="Times New Roman" w:cs="Times New Roman" w:eastAsia="Times New Roman" w:hAnsi="Times New Roman"/>
          <w:sz w:val="18"/>
          <w:szCs w:val="18"/>
          <w:i w:val="1"/>
          <w:iCs w:val="1"/>
          <w:color w:val="auto"/>
        </w:rPr>
        <w:t>Financial Services—Investment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(“ASC 946”)</w:t>
      </w:r>
      <w:r>
        <w:rPr>
          <w:rFonts w:ascii="Times New Roman" w:cs="Times New Roman" w:eastAsia="Times New Roman" w:hAnsi="Times New Roman"/>
          <w:sz w:val="18"/>
          <w:szCs w:val="18"/>
          <w:color w:val="auto"/>
        </w:rPr>
        <w:t>. The operating results presented for interim periods are not necessarily indicative of the results that may be expected for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period or for the entire year. These Condensed Financial Statements should be read in conjunction with the audited financial statements included in T-POP’s Annual Report on Form 10-K for the year ended December 31, 2025, filed with the SEC.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provided under ASC 946, T-POP generally does not consolidate an investee unless T-POP has a controlling financial interest in (a) an investment company or (b) an operating company whose business consists of providing services to T-POP. T-POP does not have a controlling financial interest in, and as a result, does not consolidate the Aggregator, nor any other reporting entities within the T-POP Fund Complex, because (a) the General Partner is not acting solely on behalf of T-POP as it carries out its duties and (b) T-POP does not absorb substantially all of the Aggregator’s variability. At each reporting date, T-POP assesses whether it has a controlling financial interest in the Aggregator or any other reporting entities within the T-POP Fund Complex, and any associated consolidation implications.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June 2, 2025 (Commencement of Operations) through September 30, 2025, T-POP consolidated the Aggregator. On October 1, 2025, the Aggregator received additional capital contributions from a Parallel Investment Entity. As a result, T-POP determined that it no longer holds a controlling financial interest in the Aggregator. Accordingly, T-POP deconsolidated the Aggregator and measured its investment in the Aggregator at fair value, using the Aggregator’s reported NAV as a practical expedient. The deconsolidation did not have a material impact on the Fund’s financial position, ongoing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Financial Statements in accordance with U.S. GAAP requires management to make estimates and assumptions that affect the reported amounts of assets and liabilities and the disclosure of contingent assets and liabilities at the date of the financial statements and the reported amounts of income and expenses during the reporting period. Actual results could differ from those estimates and such differences could be material to the Condensed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 at Fair Value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T-POP has indirect exposure to gains and losses on underlying investments because it invests in the Aggregator which, in turn, holds such underlying investments through the Aggregator’s subsidiaries. Valuations of investments held by the Aggregator are disclosed in the notes to the Aggregator’s Condensed Consolidated Financial Statements. For information regarding net realized and change in unrealized gains and losses on such investments held indirectly by T-POP, see the Aggregator’s Condensed Consolidated Financial Statements included following these Condensed Financial Statements and see Note 3. “Investments and Fair Value Measurement” in the Notes to Condensed Consolidated Financial Statements of the Aggregator for information regarding the valuation of investments.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T-POP measures its investment in the Aggregator at fair value using the net asset value of the Aggregator. The net asset value of the Aggregator is considered a practical expedient that represents fair value as (a) the investment does not have a readily determinable fair value because the Aggregator’s net asset value is not published or the basis for current transactions, (b) the Aggregator is an investment company and (c) the net asset value of the Aggregator is calculated in a manner in which all of its investments are reported at fair value as of the measurement date. Changes in the fair value of T-POP’s investment in the Aggregator are presented within Net Change in Unrealized Gain (Loss) on Investment in T-POP US Aggregator (CYM) L.P. in the Condensed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88" w:lineRule="exact"/>
        <w:rPr>
          <w:sz w:val="20"/>
          <w:szCs w:val="20"/>
          <w:color w:val="auto"/>
        </w:rPr>
      </w:pPr>
    </w:p>
    <w:p>
      <w:pPr>
        <w:jc w:val="both"/>
        <w:ind w:firstLine="486"/>
        <w:spacing w:after="0" w:line="245" w:lineRule="exact"/>
        <w:rPr>
          <w:sz w:val="20"/>
          <w:szCs w:val="20"/>
          <w:color w:val="auto"/>
        </w:rPr>
      </w:pPr>
      <w:r>
        <w:rPr>
          <w:rFonts w:ascii="Times New Roman" w:cs="Times New Roman" w:eastAsia="Times New Roman" w:hAnsi="Times New Roman"/>
          <w:sz w:val="18"/>
          <w:szCs w:val="18"/>
          <w:color w:val="auto"/>
        </w:rPr>
        <w:t>Cash Equivalents represent cash held in money market funds, treasury bills and other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highly liquid investments with original maturities of three months or less. Income from money market funds is recorded as Dividend Income and Interest Income in the Condensed Statement of Operations.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T-POP is treated as a partnership for U.S. federal and state income tax purposes and is not subject to U.S. federal and state income tax. As a pass-through entity, each partner or member therein is responsible for income taxes related to income or loss based on their respective share of an entity’s income and expenses. It is possible that T-POP may be considered a publicly traded partnership and not meet the qualifying income exception in certain years. In such a scenario, T-POP would be treated as a publicly traded partnership taxed as a corporation, rather than a partnership. The investors of T-POP would be treated as shareholders in a corporation, and T-POP itself would become taxable as a corporation for U.S. federal, state and/or local income tax purposes. T-POP would be required to pay income tax at corporate rates on its net taxable income. In addition, T-POP may operate, in part, through subsidiaries that may be treated as corporations for U.S. and non-U.S. tax purposes and therefore may be subject to current and deferred U.S. federal, state and/or local income taxes at the subsidiary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T-POP recognizes uncertain tax positions when it is more likely than not that the position will be sustained by the taxing authorities, based on the technical merits of the positions. The tax positions that meet the more-likely-than-not threshold are recognized based on the largest benefit that has a greater than 50% likelihood of being realized upon ultimate settlement. T-POP reevaluates its tax positions each period in which new information becomes available. T-POP’s policy is to recognize tax related interest and penalties, if applicable, as a component of the provision for income taxes on the Condensed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Calculation of Net Asset Value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Asset Value (the “NAV”) under U.S. GAAP by unit class is calculated by subtracting total liabilities for each class from the total carrying amount of all assets for that class, which includes the fair value of investments. At the end of each month, any change in T-POP’s NAV (whether an increase or decrease) is allocated among each unit class based on the relative percentage of the previous aggregate NAV for each unit class, adjusted for issuances of units that were effective on the first calendar day of such month and repurchases that were effective on the last calendar day of such month. NAV per unit for each class is calculated by dividing the NAV for that class by the total number of outstanding units of that class on the reporting date. The Management Company is ultimately responsible for T-POP’s NAV calculations.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Interest Income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Aggregator expects to collect such amounts.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2026, there was no dividend and interest income earned by the Registrant.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or Losses and Net Change in Unrealized Gain (Loss) on Investments and Derivative Contracts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Realized gains or losses will be measured as the difference between the net proceeds from the sale, repayment, or disposal of an asset and the adjusted cost basis of the asset. Net change in unrealized gain (loss) reflects the change in investment values during the reporting period, including any reversal of previously recorded unrealized gain or loss when gains or losses are realized.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Participation Allocation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General Partner, or any other entity designated by the General Partner, receives a performance participation allocation (“Performance Participation Allocation”) by T-POP equal to 12.5% of total return subject to a 5% annual hurdle amount and a highwater mark with a 100% catch-up. The Performance Participation Allocation will be measured and distributed on a calendar year basis and accrued monthly (subject to pro-rating for partial periods), and without taking into account accrued and unpaid taxes of any intermediate entity through which T-POP indirectly invests in an investment or taxes paid by any such intermediate entity during the applicable period. The General Partner will also be distributed a Performance Participation Allocation in conjunction with redemptions of Investor Units. The General Partner may elect to receive the Performance Participation Allocation in cash, units and/or shares or units of intermediate entities. If the Performance Participation Allocation is paid in T-POP units, such units may be repurchased at the General Partner’s request and will be subject to certain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and Offering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the one-year anniversary of the Initial Closing, organization and offering expenses are paid by the Management Company. After T-POP accepted third party investors and commenced investment operations, all costs incurred associated with the organization of T-POP were expensed. Costs associated with the offering of Class S, Class R-S, Class D, Class R-D, Class I, Class R-I and Class F units of T-POP are capitalized as deferred expense and included as an asset on the Condensed Statements of Assets and Liabilities and amortized over a twelve-month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Fees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Dealer Manager Agreement (the “Dealer Manager Agreement”) entered into between T-POP, the Feeder TE and TPG Capital BD, LLC (the “Dealer Manager”), T-POP or its affiliates will pay to the Dealer Manager a Servicing Fee (the “Servicing Fees”) in the amount of (a) 0.85% per annum of the aggregate NAV for the Class S Units and Class R-S Units as of the last day of each month and (b) 0.25% per annum of the aggregate NAV for the Class D Units and Class R-D Units as of the last day of each month, in each case, payable monthly. The Dealer Manager anticipates that all or a portion of the Servicing Fees will be retained by, or reallocated (paid) to, participating brokers or other financial intermediaries. T-POP or its affiliates will not pay to the Dealer Manager a Servicing Fee in respect of the purchase of any Class I Units, Class R-I Units and Class F Units. In calculating the Servicing Fee, T-POP will use its NAV before giving effect to any accruals for the Servicing Fee, repurchases for that month, if any, and distributions payable on the T-POP Units.</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T-POP accrues the cost of the Servicing Fees, as applicable, for the estimated life of the units at the time we sell Class S Units, Class R-S Units, Class D Units, and Class R-D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T-POP was established by TPG to provide eligible investors with access to TPG’s private equity franchise through a single investment. By leveraging the investment capabilities of TPG, T-POP aims to provide investors a pure play private equity alternative that benefits from TPG’s business building capabilities and strategic orientation towards attractive, growing sectors, and thereby serve as a core private equity allocation within its investors’ portfolios.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T-POP operates through a single reportable segment with an investment objective of generating investment returns by providing its Limited Partners with broad exposure to investments across the private equity strategies of TPG. The chief operating decision maker (the “CODM”) is T-POP’s Chief Executive Officer. The CODM assesses the performance of, allocates resources to and makes operating decisions for T-POP primarily based on T-POP’s Net Increase in Net Assets Resulting from Operations. As T-POP is a single segment, there is no difference between segment assets and total assets as presented on the Condensed Statements of Assets and Liabilities and significant segment expenses are the same as those listed on the Condensed Statement of Operations. As the Fund operates as a single segment, the accounting policies utilized by the segment are consistent with those included in the Condensed Financial Statements here within.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in the Aggregator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T-POP has an interest of 79.0% in the Aggregator as of March 31, 2026. The remaining interest in the Aggregator is held by a Parallel Investment Entity. T-POP’s interest in the Aggregator may result in T-POP indirectly holding investments of the Aggregator that, on a proportional basis, at times may exceed 5% of the net assets of T-POP. For a listing of investments that may proportionally exceed 5% of T-POP’s net assets, see the Condensed Consolidated Schedule of Investments of the Aggregator.</w:t>
      </w:r>
    </w:p>
    <w:p>
      <w:pPr>
        <w:spacing w:after="0" w:line="180"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As discussed in Note 2. “Summary of Significant Accounting Policies” under Basis of Consolidation, T-POP consolidated the Aggregator through September 30, 2025. Effective October 1, 2025,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POP determined that it no longer held a controlling financial interest and as a result deconsolidated the Aggregator. Upon deconsolidation,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POP measured its retained investment at fair value, using the Aggregator’s reported net asset value as a practical expedient.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its formation, T-POP has the authority to issue an unlimited number of units of each unit class.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T-POP offers, on a monthly basis, in a continuous private placement, seven classes of limited partnership units: Class S, Class R-S, Class D, Class R-D, Class I, Class R-I and Class F units. Class S/Class R-S and Class D/Class R-D units bear a Servicing Fee in an amount equal to, on an annualized basis, 0.85% and 0.25%, respectively, of the Transactional NAV of each class of units as of the last day of each month. In calculating the Servicing Fee, T-POP uses the Transactional NAV before giving effect to any accruals for the Servicing Fee, repurchases, if any, for that month and distributions payable on T-POP’s units. No Servicing Fee is payable with respect to Class I, Class R-I or Class F units. The purchase price per unit of each class is equal to the Transactional NAV per unit for such class as of the last calendar day of the immediately preceding month. Before T-POP determined its first Transactional NAV, the initial subscription price for units was $25.00 per unit.</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financial intermediaries through which a limited partner is placed in T-POP may charge the limited partner upfront selling commissions, placement fees, subscription fees or similar fees (“Subscription Fees”) of up to (a) 3.5% of Transactional NAV on Class S and Class R-S units and (b) 1.5% of Transactional NAV on Class D and Class R-D units sold in the offering. These Subscription Fees are paid by the limited partner outside of its investment in T-POP and not reflected in T-POP’s Transactional NAV.</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August 30, 2024, the General Partner and TPG LP A, Inc., an affiliate of the Management Company (the “Initial Limited Partner”), agreed to contribute one dollar each as T-POP’s initial capital contribution to form the TPG Private Equity Opportunities, L.P. partnership (the “August 2024 Contribution”). On January 14, 2025 and January 28, 2025, T-POP received in cash an aggregate contribution of twenty-five dollars (inclusive of the August 2024 Contribution) from the General Partner in exchange for one Class F Unit of T-POP and nine hundred seventy-five dollars (inclusive of the August 2024 Contribution) from the Initial Limited Partner in exchange for 39 Class F Units of T-POP.</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transactions in the Units during the three months ended March 31, 2026: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R-S Units</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Class R-D Units</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Class R-I Units</w:t>
            </w: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Class F Units</w:t>
            </w:r>
            <w:r>
              <w:rPr>
                <w:rFonts w:ascii="Times New Roman" w:cs="Times New Roman" w:eastAsia="Times New Roman" w:hAnsi="Times New Roman"/>
                <w:sz w:val="21"/>
                <w:szCs w:val="21"/>
                <w:b w:val="1"/>
                <w:bCs w:val="1"/>
                <w:color w:val="auto"/>
                <w:vertAlign w:val="superscript"/>
              </w:rPr>
              <w:t>(a)</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as of December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12,446,958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170,356</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20,070,838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969,858</w:t>
            </w: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Issued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3,552,747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161,894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6,609,151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265,559</w:t>
            </w: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redeemed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Outstanding as of March 31, 2026</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15,993,256</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332,250</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26,643,440</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1,235,417</w:t>
            </w:r>
          </w:p>
        </w:tc>
      </w:tr>
      <w:tr>
        <w:trPr>
          <w:trHeight w:val="21"/>
        </w:trPr>
        <w:tc>
          <w:tcPr>
            <w:tcW w:w="4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F includes 12,230 of issued units to the Board of Directors of T-POP in accordance with their Restricted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Program</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T-POP has implemented a redemption program (the “Redemption Program”) in which it offers its limited partners the opportunity to redeem units outstanding. Under the Redemption Program, to the extent T-POP offers to redeem Units in any particular quarter, T-POP redeems Units using a purchase price equal to T-POP’s Transactional NAV per Unit as of the last calendar day of the applicable quarter (the “Redemption Date”), subject to the Early Redemption Deduction (as defined below). The Redemption Program has a limit of up to 5% of the aggregate units outstanding (by aggregate Transactional NAV of T-POP (including Transactional NAV attributable to any feeder fund) and any Parallel Investment Entity) as of the last calendar day of the immediately preceding calendar quarter. Redemption offers commenced the second full quarter following the Initial Closing. Such redemptions are subject to T-POP’s limited partnership agreement (“Partnership Agreement”).</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redemption requests of Units that have been outstanding for fewer than two years will be subject to an early redemption deduction equal to 5% of the value of T-POP’s Transactional NAV of the Units being redeemed (calculated as of the Redemption Date) (the “Early Redemption Deduction”) for the benefit of T-POP and its Limited Partners, subject to certain exceptions.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Transactional NAV for each unit class is calculated monthly by the Management Company. The Transactional NAV is based on the month-end values of investments, the addition of the value of any other assets such as cash, and the deduction of any liabilities, including the accrual and allocation of the Management Fee, the Performance Participation Allocation and the Maintenance Fee and the deduction of expenses attributable to certain unit classes, such as applicable Servicing Fees. The redemption price per unit for each unit class as of March 31, 2026 is $31.08 for Class R-S Units, $31.24 for Class R-D Units, $31.31 for Class R-I Units and $32.37 for Class F Units, subject to any Early Redemption Deduction. For the three months ended March 31, 2026, 6,449 Units of Class R-S Units were redeemed for an aggregate value of $0.2 million. No Class R-D Units, Class R-I Units and Class F Units were redeemed as part of the Redemption Program during the three months ended March 31,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Feeder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36,549 Units of Class R-I held by the Feeder were retired in connection with paying ordinary course expenses at the Feeder. Such retired units are reflected in the redemptions line item of the Condensed Statement of Changes in Net Assets for $1.1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Fund has entered into a limited partnership agreement as amended and restated with the General Partner. Under the terms of the T-POP’s Partnership Agreement, overall responsibility for T-POP’s oversight rests with the General Partner, subject to certain oversight rights held by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Participation Allocation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General Partner, or any other entity designated by the General Partner, is allocated a Performance Participation Allocation by T-POP equal to 12.5% of total return subject to a 5% annual hurdle amount and a high water mark with 100% catch-up. Such allocation is measured on a calendar year basis, distributed or allocated annually and accrued monthly (subject to pro-rating for partial periods), and without taking into account accrued and unpaid taxes of any intermediate entity through which T-POP indirectly invests in an investment or taxes paid by any such intermediate entity during the applicable month. The General Partner may elect to receive the Performance Participation Allocation in cash, units and/or shares or units of intermediate entities. If the Performance Participation Allocation is paid in T-POP units, such units may be redeemed at the General Partner’s request and is subject to certain limitations. For the three months ended March 31, 2026, T-POP recognized Performance Participation Allocation of $2.9 million in the Condensed Statement of Operations. In January 2026, T-POP settled a total of $16.7 million of Accrued Performance Participation Allocation. T-POP satisfied $8.3 million of this liability through issuance of 263,187 Class F Units to the General Partner and paid the remaining $8.3 million in cash.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Fund entered into a management agreement with the Management Company (the “Management Agreement”). The Management Company shall provide portfolio management, risk management and other services to the Fund (and in the General Partner’s discretion, to any subsidiary of the Fund) during the term as the Fund and the Management Company shall reasonably agree.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consideration for its investment management services, T-POP pays the Management Company a management fee (the “Management Fee”), in accordance with the Management Agreement, calculated and payable monthly in arrears, equal to, for each calendar month, commencing six calendar months after the Initial Closing, in the aggregate, (i) 1.25% of T-POP’s Transactional NAV per annum of the Class S, Class D and Class I units and (ii) 1.00% of T-POP’s Transactional NAV per annum of the Class R-S, Class R-D and Class R-I units for a 36-month period following the sixth-month anniversary of the Initial Closing, and 1.25% of T-POP’s Transactional NAV per annum of such units thereafter, in each case, before giving effect to any accruals for the Management Fee, the Servicing Fee (as defined below), the Performance Participation Allocation, the Maintenance Fee (as defined below), any repurchases (and pending repurchases), any distributions and without taking into account any accrued and unpaid taxes of any intermediate entity through which T-POP indirectly invests in an investment or taxes paid by any such intermediate entity during the applicable month.</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Management Company may elect to receive the Management Fee in cash, units of T-POP or any Parallel Investment Entities, and/or shares or units of intermediate entities. If the Management Fee is paid in T-POP units, such units may be repurchased at the Management Company’s request and will be subject to certain limitations. For the three months ended March 31, 2026, T-POP recognized $1.9 million of management fees in the Condensed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Fee</w:t>
      </w:r>
    </w:p>
    <w:p>
      <w:pPr>
        <w:spacing w:after="0" w:line="229"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7"/>
          <w:szCs w:val="17"/>
          <w:color w:val="auto"/>
        </w:rPr>
        <w:t>In consideration for its operational services, the Management Company is entitled to receive a maintenance fee (the “Maintenance Fee”) from T-POP (directly or indirectly through an intermediate entity) payable in cash monthly in arrears equal to, in the aggregate, 0.10% of T-POP’s Transactional NAV per annum, before giving effect to any accruals for the Management Fee, the Servicing Fee, the Performance Participation Allocation, the Maintenance Fee, any repurchases (and pending repurchases), any distributions and without taking into account accrued and unpaid taxes of any intermediate entity through which T-POP indirectly invests in an investment or taxes paid by any such intermediate entity during the applicable month. For the three months ended March 31, 2026, T-POP recognized $0.2 million of maintenance fees included within Other Expenses in the Condensed Statement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Manager Agreement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T-POP entered into a Dealer Manager Agreement with TPG Capital BD, LLC, a broker-dealer registered with the SEC under the Securities Exchange Act of 1934, as amended, and a member of the Financial Industry Regulatory Authority. Pursuant to the Dealer Manager Agreement, the Dealer Manager manages T-POP’s relationships with third-party brokers engaged by the Dealer Manager to participate in the distribution of units, which are referred to as participating brokers, and financial advisors. The Dealer Manager also coordinates T-POP’s marketing and distribution efforts with participating brokers and their registered representatives with respect to communications related to the terms of T-POP’s offering, its investment strategies, material aspects of its operations and subscription procedures.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Dealer Manager is entitled to receive Servicing Fees monthly in arrears at an annual rate of 0.85% of the value of T-POP’s Transactional NAV attributable to Class S and Class R-S units as of the last day of each month. The Dealer Manager is entitled to receive the Servicing Fees monthly in arrears at an annual rate of 0.25% of the value of T-POP’s Transactional NAV attributable to Class D and Class R-D units as of the last day of each month. There are no Servicing Fees with respect to Class I, Class R-I and Class F units. The Servicing Fees are payable to the Dealer Manager, but the Dealer Manager anticipates that all or a portion of such fees will be retained by, or reallocated (paid) to, participating brokers or other financial intermediaries. See Note 4. “Net Assets” for further details.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T-POP accrues the cost of the servicing fees, as applicable, for the estimated life of the Units as at the time Class R-S and Class R-D Units are sold. Accrued servicing fees as of March 31, 2026 were $13.0 million for Class R-S Units and $0.1 million for Class R-D Units. Accrued servicing fees as of December 31, 2025 were $11.3 million for Class R-S Units and $0.05 million for Class R-D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Feeder</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Private Equity Opportunities Fund (TE) L.P. (the “Feeder”) is a feeder vehicle for T-POP. The Feeder was established to allow certain investors with particular tax characteristics, such as tax-exempt investors and non-U.S. investors, to participate in T-POP in a more efficient manner. The Feeder is obligated to bear (without duplication) its proportional share of the Management Fee based on its proportional interest in the aggregator entity in which T-POP invests. Investors in the Feeder indirectly bear a portion of the Performance Participation Allocation payable by T-POP, but such expenses are not duplicated at the Feeder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General Partner, Management Company, Dealer Manager, Feeder TE, and Parallel Investment Entities, the Aggregator, and other vehicles sponsored, advised and/or managed by TPG or its affiliates are affiliates of T-POP. The General Partner and its affiliates held 1,223,187 and 960,000 of Class F Units issued as of March 31,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Transfer Agreement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18, 2025 T-POP and the Management Company entered into a transfer agreement (the “Transfer Agreement”) with various affiliated entities of the General Partner (the “Transferors”). In accordance with the Transfer Agreement, T-POP purchased at historical cost (indirectly through the Aggregator) $400.5 million of investments that have been warehoused by the Transferors in connection with T-POP’s formation (the “Warehoused Investments”). The transactions were approved by T-POP’s independent directors. As of March 31, 2026, all investments have been transferred from the warehouse to T-POP (indirectly through the Aggregator).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Management Company has agreed to advance organizational and offering expenses, other than subscription fees and Servicing Fees related to Class S, Class R-S, Class D and Class R-D units, on T-POP’s behalf through the first anniversary of T-POP’s Initial Closing. T-POP will reimburse the Management Company for all such advanced expenses ratably over the 60 months following the anniversary of the Initial Closing. As of March 31, 2026, the Management Company and its affiliates have incurred organizational and offering expenses amounting to $1.7 million on T-POP’s behalf which are recorded as Organization and Offering Costs Payable in the Condensed Statements of Assets and Liabilities.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information regarding investment commitments, see the Aggregator’s Condensed Consolidated Financial Statements. To the extent funded, these investments are expected to reside at the Aggregator but may be funded from T-POP’s available liquidity, including proceeds from the issuance of Units by T-POP and available borrowing capacity under the Line of Credit at the Aggregator. For information regarding the Line of Credit, see Note 5. “Line of Credit Arrangement” within the Notes to the Aggregator’s Condensed Consolidated Financial Statements.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T-POP may, from time to time, be party to various legal matters arising in the ordinary course of business, including claims and litigation proceedings. As of March 31, 2026, T-POP was not subject to any material litigation nor was T-POP aware of any material litigation threatened against 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T-POP has not identified any uncertain tax positions that require recognition or disclosure. The Fund files its tax returns as prescribed by the tax laws of the jurisdictions in which it operates. In the normal course of business, the Fund is subject to examination by U.S. federal, state, local and foreign tax authorities. Although the outcome of tax audits is always uncertain, the Fund does not believe the outcome of any future audit will have a material adverse effect on the Fund’s Condensed Financial Statements.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among other provisions, includes an extension of certain expiring elements of the Tax Cuts and Jobs Act. The legislation has multiple effective dates, with certain provisions effective in 2025 and others implemented through 2027. The OBBBA did not have a material impact to T-POP’s financial statements for the three months ended March 31, 2026. T-POP will continue to evaluate its future impact as regulations are issued by the U.S. Department of the Treasury.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Financial Highlights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the financial highlights of the Fund attributed to each Class of Units: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Unit Data</w:t>
            </w:r>
          </w:p>
        </w:tc>
        <w:tc>
          <w:tcPr>
            <w:tcW w:w="20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R-S Units</w:t>
            </w:r>
          </w:p>
        </w:tc>
        <w:tc>
          <w:tcPr>
            <w:tcW w:w="18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Class R-D Units</w:t>
            </w:r>
          </w:p>
        </w:tc>
        <w:tc>
          <w:tcPr>
            <w:tcW w:w="22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Class R-I Units</w:t>
            </w:r>
          </w:p>
        </w:tc>
        <w:tc>
          <w:tcPr>
            <w:tcW w:w="240" w:type="dxa"/>
            <w:vAlign w:val="bottom"/>
          </w:tcPr>
          <w:p>
            <w:pPr>
              <w:spacing w:after="0"/>
              <w:rPr>
                <w:sz w:val="19"/>
                <w:szCs w:val="19"/>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F Units</w:t>
            </w: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Units Issued</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2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Net Change in Unrealized Gain (Loss)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Servicing Fees</w:t>
            </w:r>
          </w:p>
        </w:tc>
        <w:tc>
          <w:tcPr>
            <w:tcW w:w="2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Units Outstanding, End of Period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15,993,256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332,250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26,643,440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1,235,417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Ratios to Weighted-Average Net Assets (Non-</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Annualized)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39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Total Expenses without Accrued Performance</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 Allocation</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Total Expenses</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Loss</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is calculated as the change in Net Asset Value per Unit during the period, plus distributions per Unit (assuming dividends and distributions are reinvested in accordance with T-POP’s distribution reinvestment plan) divided by the initial Net Asset Value per Unit. Total return does not include upfront transaction fees, if any.</w:t>
      </w:r>
    </w:p>
    <w:p>
      <w:pPr>
        <w:spacing w:after="0" w:line="29"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ratio includes Organizational Expenses, Accrued Performance Participation Allocation, Maintenance Fees, and Other.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Subsequent Events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1, 2026, T-POP sold unregistered limited partnership units (the “Units”) of the Fund as part of its continuous private offering for aggregate consideration of $88.9 million. The following table details the Units sold: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78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Number of Units Sold</w:t>
            </w:r>
          </w:p>
        </w:tc>
        <w:tc>
          <w:tcPr>
            <w:tcW w:w="540" w:type="dxa"/>
            <w:vAlign w:val="bottom"/>
          </w:tcPr>
          <w:p>
            <w:pPr>
              <w:spacing w:after="0"/>
              <w:rPr>
                <w:sz w:val="18"/>
                <w:szCs w:val="18"/>
                <w:color w:val="auto"/>
              </w:rPr>
            </w:pPr>
          </w:p>
        </w:tc>
        <w:tc>
          <w:tcPr>
            <w:tcW w:w="314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Aggregate Consideration</w:t>
            </w:r>
          </w:p>
        </w:tc>
      </w:tr>
      <w:tr>
        <w:trPr>
          <w:trHeight w:val="226"/>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R-I</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1,829,916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57,288,019</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999,663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31,070,625</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1, 2026, the T-POP Fund Complex (inclusive of the Fund) issued interests for aggregate consideration of approximately $102.1 million.</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Fund’s management evaluated subsequent events through the date of issuance of these Condensed Financial Statements. Other than the events disclosed in the Notes to the Condensed Financial Statements, there have been no additional events since March 31, 2026 that require recognition or disclosure in the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Assets and Liabilities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Unit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Investments at Fair Value (Cost $— as of March 31, 2026; $655,399 as of December 31,</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0" w:type="dxa"/>
            <w:vAlign w:val="bottom"/>
          </w:tcPr>
          <w:p>
            <w:pPr>
              <w:spacing w:after="0"/>
              <w:rPr>
                <w:sz w:val="1"/>
                <w:szCs w:val="1"/>
                <w:color w:val="auto"/>
              </w:rPr>
            </w:pPr>
          </w:p>
        </w:tc>
      </w:tr>
      <w:tr>
        <w:trPr>
          <w:trHeight w:val="176"/>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Investments in Affiliated Investee Funds at Fair Value (Cost $1,335,697 as of March 31, 2026;</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$434,716 as of December 31, 2025)</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515,155</w:t>
            </w:r>
          </w:p>
        </w:tc>
        <w:tc>
          <w:tcPr>
            <w:tcW w:w="0" w:type="dxa"/>
            <w:vAlign w:val="bottom"/>
          </w:tcPr>
          <w:p>
            <w:pPr>
              <w:spacing w:after="0"/>
              <w:rPr>
                <w:sz w:val="1"/>
                <w:szCs w:val="1"/>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1,757,542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1,459,101</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Organizational Costs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 Payable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0" w:type="dxa"/>
            <w:vAlign w:val="bottom"/>
          </w:tcPr>
          <w:p>
            <w:pPr>
              <w:spacing w:after="0"/>
              <w:rPr>
                <w:sz w:val="1"/>
                <w:szCs w:val="1"/>
                <w:color w:val="auto"/>
              </w:rPr>
            </w:pPr>
          </w:p>
        </w:tc>
      </w:tr>
      <w:tr>
        <w:trPr>
          <w:trHeight w:val="250"/>
        </w:trPr>
        <w:tc>
          <w:tcPr>
            <w:tcW w:w="7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Limited Partnership Units - Class I, unlimited Units authorized, (11,138,134 Units issued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outstanding as of March 31, 2026; 10,350,333 Units issued and outstanding as of</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359,439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326,628</w:t>
            </w:r>
          </w:p>
        </w:tc>
        <w:tc>
          <w:tcPr>
            <w:tcW w:w="0" w:type="dxa"/>
            <w:vAlign w:val="bottom"/>
          </w:tcPr>
          <w:p>
            <w:pPr>
              <w:spacing w:after="0"/>
              <w:rPr>
                <w:sz w:val="1"/>
                <w:szCs w:val="1"/>
                <w:color w:val="auto"/>
              </w:rPr>
            </w:pPr>
          </w:p>
        </w:tc>
      </w:tr>
      <w:tr>
        <w:trPr>
          <w:trHeight w:val="175"/>
        </w:trPr>
        <w:tc>
          <w:tcPr>
            <w:tcW w:w="7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Limited Partnership Units - Class R-I, unlimited Units authorized, (37,915,424 Units issued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outstanding as of March 31, 2026; 29,067,507 Units issued and outstanding as of</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1,224,077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917,418</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Limited Partnership Units - Class F, unlimited Units authorized, (5,105,229 Units issued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outstanding as of March 31, 2026; 4,345,450 Units issued and outstanding as of</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137,095</w:t>
            </w:r>
          </w:p>
        </w:tc>
        <w:tc>
          <w:tcPr>
            <w:tcW w:w="0" w:type="dxa"/>
            <w:vAlign w:val="bottom"/>
          </w:tcPr>
          <w:p>
            <w:pPr>
              <w:spacing w:after="0"/>
              <w:rPr>
                <w:sz w:val="1"/>
                <w:szCs w:val="1"/>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1,749,253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1,447,179</w:t>
            </w:r>
          </w:p>
        </w:tc>
        <w:tc>
          <w:tcPr>
            <w:tcW w:w="0" w:type="dxa"/>
            <w:vAlign w:val="bottom"/>
          </w:tcPr>
          <w:p>
            <w:pPr>
              <w:spacing w:after="0"/>
              <w:rPr>
                <w:sz w:val="1"/>
                <w:szCs w:val="1"/>
                <w:color w:val="auto"/>
              </w:rPr>
            </w:pPr>
          </w:p>
        </w:tc>
      </w:tr>
      <w:tr>
        <w:trPr>
          <w:trHeight w:val="223"/>
        </w:trPr>
        <w:tc>
          <w:tcPr>
            <w:tcW w:w="7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1,757,542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1,459,101</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8"/>
              </w:rPr>
              <w:t>T-POP US Aggregator (CYM), L.P.</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(unaudited)</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56"/>
        </w:trPr>
        <w:tc>
          <w:tcPr>
            <w:tcW w:w="8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2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6"/>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 (Loss)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Realized and Unrealized Gain (Loss) on Investments</w:t>
            </w: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 (Loss) on Investments</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Change in Realized and Unrealized Gain (Loss)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35,669</w:t>
            </w:r>
          </w:p>
        </w:tc>
      </w:tr>
      <w:tr>
        <w:trPr>
          <w:trHeight w:val="250"/>
        </w:trPr>
        <w:tc>
          <w:tcPr>
            <w:tcW w:w="8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Net Assets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Class I Units</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Class R-I Units</w:t>
            </w:r>
          </w:p>
        </w:tc>
        <w:tc>
          <w:tcPr>
            <w:tcW w:w="10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Class F Units</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917,418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1,447,179</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Issued</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348,542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 Transfer Between Classes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 (Loss) on Investments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Deconsolidation of Non-Controlling Interests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r>
      <w:tr>
        <w:trPr>
          <w:trHeight w:val="176"/>
        </w:trPr>
        <w:tc>
          <w:tcPr>
            <w:tcW w:w="818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Increase in Net Assets From Operations to Net Cash Used in</w:t>
            </w:r>
          </w:p>
        </w:tc>
        <w:tc>
          <w:tcPr>
            <w:tcW w:w="1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r>
      <w:tr>
        <w:trPr>
          <w:trHeight w:val="229"/>
        </w:trPr>
        <w:tc>
          <w:tcPr>
            <w:tcW w:w="8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Change in Unrealized (Gain) / Loss on Investments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29"/>
        </w:trPr>
        <w:tc>
          <w:tcPr>
            <w:tcW w:w="8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r>
      <w:tr>
        <w:trPr>
          <w:trHeight w:val="230"/>
        </w:trPr>
        <w:tc>
          <w:tcPr>
            <w:tcW w:w="8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(325,838)</w:t>
            </w:r>
          </w:p>
        </w:tc>
      </w:tr>
      <w:tr>
        <w:trPr>
          <w:trHeight w:val="229"/>
        </w:trPr>
        <w:tc>
          <w:tcPr>
            <w:tcW w:w="8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44,529</w:t>
            </w:r>
          </w:p>
        </w:tc>
      </w:tr>
      <w:tr>
        <w:trPr>
          <w:trHeight w:val="23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Cash Flows due to Changes in Operating Assets and Liabilities:</w:t>
            </w:r>
          </w:p>
        </w:tc>
        <w:tc>
          <w:tcPr>
            <w:tcW w:w="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8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(Increase) in Other Assets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9"/>
        </w:trPr>
        <w:tc>
          <w:tcPr>
            <w:tcW w:w="8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Increase in Professional Fees Payable</w:t>
            </w:r>
          </w:p>
        </w:tc>
        <w:tc>
          <w:tcPr>
            <w:tcW w:w="16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8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(280,150)</w:t>
            </w:r>
          </w:p>
        </w:tc>
      </w:tr>
      <w:tr>
        <w:trPr>
          <w:trHeight w:val="250"/>
        </w:trPr>
        <w:tc>
          <w:tcPr>
            <w:tcW w:w="8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r>
      <w:tr>
        <w:trPr>
          <w:trHeight w:val="23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347,510</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Redemption of Units</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(16,462)</w:t>
            </w:r>
          </w:p>
        </w:tc>
      </w:tr>
      <w:tr>
        <w:trPr>
          <w:trHeight w:val="223"/>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331,048</w:t>
            </w:r>
          </w:p>
        </w:tc>
      </w:tr>
      <w:tr>
        <w:trPr>
          <w:trHeight w:val="236"/>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50,898</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Investments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770,674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Investment in Affiliated Investee Funds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(700,661)</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Professional Fees Payable</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Organizational and Offering Costs Payable</w:t>
            </w:r>
          </w:p>
        </w:tc>
        <w:tc>
          <w:tcPr>
            <w:tcW w:w="16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Non-Controlling Interests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162"/>
        </w:trPr>
        <w:tc>
          <w:tcPr>
            <w:tcW w:w="350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Geography</w:t>
            </w: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 ($)</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216"/>
        </w:trPr>
        <w:tc>
          <w:tcPr>
            <w:tcW w:w="35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5"/>
              </w:rPr>
              <w:t>Assets (%)</w:t>
            </w:r>
            <w:r>
              <w:rPr>
                <w:rFonts w:ascii="Times New Roman" w:cs="Times New Roman" w:eastAsia="Times New Roman" w:hAnsi="Times New Roman"/>
                <w:sz w:val="21"/>
                <w:szCs w:val="21"/>
                <w:b w:val="1"/>
                <w:bCs w:val="1"/>
                <w:color w:val="auto"/>
                <w:w w:val="95"/>
                <w:vertAlign w:val="superscript"/>
              </w:rPr>
              <w:t>(a)</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Affiliated Investee Funds</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T-POP Investment Holdings I, L.P.</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4"/>
              </w:rPr>
              <w:t>Various</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NAV</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T-POP Investment Holdings II, L.P.</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Various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NAV</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T-POP Investment Holdings III, L.P.</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4"/>
              </w:rPr>
              <w:t>Various</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NAV</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T-POP Investment Holdings IV, L.P.</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Various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NAV</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T-POP Investment Holdings V, L.P.</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4"/>
              </w:rPr>
              <w:t>Various</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NAV</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T-POP Investment Holdings VI, L.P.</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Various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NAV</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176,337</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T-POP Investment Holdings VII, L.P.</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4"/>
              </w:rPr>
              <w:t>Various</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NAV</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196,038</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Services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1,532,794</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0" w:type="dxa"/>
            <w:vAlign w:val="bottom"/>
          </w:tcPr>
          <w:p>
            <w:pPr>
              <w:spacing w:after="0"/>
              <w:rPr>
                <w:sz w:val="1"/>
                <w:szCs w:val="1"/>
                <w:color w:val="auto"/>
              </w:rPr>
            </w:pPr>
          </w:p>
        </w:tc>
      </w:tr>
      <w:tr>
        <w:trPr>
          <w:trHeight w:val="256"/>
        </w:trPr>
        <w:tc>
          <w:tcPr>
            <w:tcW w:w="3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5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Affiliated Investee Funds (Cost</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1,532,794</w:t>
            </w:r>
          </w:p>
        </w:tc>
        <w:tc>
          <w:tcPr>
            <w:tcW w:w="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0" w:type="dxa"/>
            <w:vAlign w:val="bottom"/>
          </w:tcPr>
          <w:p>
            <w:pPr>
              <w:spacing w:after="0"/>
              <w:rPr>
                <w:sz w:val="1"/>
                <w:szCs w:val="1"/>
                <w:color w:val="auto"/>
              </w:rPr>
            </w:pPr>
          </w:p>
        </w:tc>
      </w:tr>
      <w:tr>
        <w:trPr>
          <w:trHeight w:val="221"/>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$1,335,697 North America)</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line="282"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3. “Investment in the Aggregator” within the Notes to the Condensed Financial Statements of the Registrant for details on T-POP US Aggregator (CYM), L.P.’s proportional share of investments through investees.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Unit Data)</w:t>
      </w:r>
    </w:p>
    <w:p>
      <w:pPr>
        <w:spacing w:after="0" w:line="200" w:lineRule="exact"/>
        <w:rPr>
          <w:sz w:val="20"/>
          <w:szCs w:val="20"/>
          <w:color w:val="auto"/>
        </w:rPr>
      </w:pPr>
    </w:p>
    <w:p>
      <w:pPr>
        <w:spacing w:after="0" w:line="287"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140" w:type="dxa"/>
            <w:vAlign w:val="bottom"/>
          </w:tcPr>
          <w:p>
            <w:pPr>
              <w:spacing w:after="0"/>
              <w:rPr>
                <w:sz w:val="16"/>
                <w:szCs w:val="16"/>
                <w:color w:val="auto"/>
              </w:rPr>
            </w:pP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162"/>
        </w:trPr>
        <w:tc>
          <w:tcPr>
            <w:tcW w:w="1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12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76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Geography</w:t>
            </w:r>
            <w:r>
              <w:rPr>
                <w:rFonts w:ascii="Times New Roman" w:cs="Times New Roman" w:eastAsia="Times New Roman" w:hAnsi="Times New Roman"/>
                <w:sz w:val="21"/>
                <w:szCs w:val="21"/>
                <w:b w:val="1"/>
                <w:bCs w:val="1"/>
                <w:color w:val="auto"/>
                <w:vertAlign w:val="superscript"/>
              </w:rPr>
              <w:t>(a)</w:t>
            </w:r>
          </w:p>
        </w:tc>
        <w:tc>
          <w:tcPr>
            <w:tcW w:w="920" w:type="dxa"/>
            <w:vAlign w:val="bottom"/>
            <w:vMerge w:val="continue"/>
          </w:tcPr>
          <w:p>
            <w:pPr>
              <w:spacing w:after="0"/>
              <w:rPr>
                <w:sz w:val="14"/>
                <w:szCs w:val="14"/>
                <w:color w:val="auto"/>
              </w:rPr>
            </w:pP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u w:val="single" w:color="auto"/>
                <w:color w:val="auto"/>
              </w:rPr>
              <w:t>Fair Value ($)</w:t>
            </w:r>
          </w:p>
        </w:tc>
        <w:tc>
          <w:tcPr>
            <w:tcW w:w="13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245"/>
        </w:trPr>
        <w:tc>
          <w:tcPr>
            <w:tcW w:w="1500" w:type="dxa"/>
            <w:vAlign w:val="bottom"/>
            <w:vMerge w:val="continue"/>
          </w:tcPr>
          <w:p>
            <w:pPr>
              <w:spacing w:after="0"/>
              <w:rPr>
                <w:sz w:val="21"/>
                <w:szCs w:val="21"/>
                <w:color w:val="auto"/>
              </w:rPr>
            </w:pPr>
          </w:p>
        </w:tc>
        <w:tc>
          <w:tcPr>
            <w:tcW w:w="212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140" w:type="dxa"/>
            <w:vAlign w:val="bottom"/>
            <w:vMerge w:val="continue"/>
          </w:tcPr>
          <w:p>
            <w:pPr>
              <w:spacing w:after="0"/>
              <w:rPr>
                <w:sz w:val="21"/>
                <w:szCs w:val="21"/>
                <w:color w:val="auto"/>
              </w:rPr>
            </w:pPr>
          </w:p>
        </w:tc>
        <w:tc>
          <w:tcPr>
            <w:tcW w:w="13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Assets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2343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ind w:left="40" w:right="900"/>
        <w:spacing w:after="0" w:line="272" w:lineRule="auto"/>
        <w:rPr>
          <w:sz w:val="20"/>
          <w:szCs w:val="20"/>
          <w:color w:val="auto"/>
        </w:rPr>
      </w:pPr>
      <w:r>
        <w:rPr>
          <w:rFonts w:ascii="Times New Roman" w:cs="Times New Roman" w:eastAsia="Times New Roman" w:hAnsi="Times New Roman"/>
          <w:sz w:val="17"/>
          <w:szCs w:val="17"/>
          <w:b w:val="1"/>
          <w:bCs w:val="1"/>
          <w:color w:val="auto"/>
        </w:rPr>
        <w:t>Portfolio Companies Consumer Services</w:t>
      </w:r>
    </w:p>
    <w:p>
      <w:pPr>
        <w:spacing w:after="0" w:line="1" w:lineRule="exact"/>
        <w:rPr>
          <w:sz w:val="20"/>
          <w:szCs w:val="20"/>
          <w:color w:val="auto"/>
        </w:rPr>
      </w:pPr>
    </w:p>
    <w:p>
      <w:pPr>
        <w:ind w:left="40" w:right="360"/>
        <w:spacing w:after="0" w:line="227"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Consumer Services</w:t>
      </w: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Energy Transition</w:t>
      </w:r>
    </w:p>
    <w:p>
      <w:pPr>
        <w:spacing w:after="0" w:line="31" w:lineRule="exact"/>
        <w:rPr>
          <w:sz w:val="20"/>
          <w:szCs w:val="20"/>
          <w:color w:val="auto"/>
        </w:rPr>
      </w:pPr>
    </w:p>
    <w:p>
      <w:pPr>
        <w:ind w:left="40" w:right="360"/>
        <w:spacing w:after="0" w:line="220"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40" w:right="360"/>
        <w:spacing w:after="0" w:line="219"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Energy Transition</w:t>
      </w: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Services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Creative Planning</w:t>
      </w:r>
    </w:p>
    <w:p>
      <w:pPr>
        <w:spacing w:after="0" w:line="27" w:lineRule="exact"/>
        <w:rPr>
          <w:sz w:val="20"/>
          <w:szCs w:val="20"/>
          <w:color w:val="auto"/>
        </w:rPr>
      </w:pPr>
    </w:p>
    <w:p>
      <w:pPr>
        <w:ind w:left="40" w:right="360"/>
        <w:spacing w:after="0" w:line="227" w:lineRule="auto"/>
        <w:rPr>
          <w:sz w:val="20"/>
          <w:szCs w:val="20"/>
          <w:color w:val="auto"/>
        </w:rPr>
      </w:pPr>
      <w:r>
        <w:rPr>
          <w:rFonts w:ascii="Times New Roman" w:cs="Times New Roman" w:eastAsia="Times New Roman" w:hAnsi="Times New Roman"/>
          <w:sz w:val="18"/>
          <w:szCs w:val="18"/>
          <w:color w:val="auto"/>
        </w:rPr>
        <w:t>Other Investment in Portfolio Companies</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Financial Services</w:t>
      </w:r>
    </w:p>
    <w:p>
      <w:pPr>
        <w:spacing w:after="0" w:line="255" w:lineRule="exact"/>
        <w:rPr>
          <w:sz w:val="20"/>
          <w:szCs w:val="20"/>
          <w:color w:val="auto"/>
        </w:rPr>
      </w:pPr>
    </w:p>
    <w:p>
      <w:pPr>
        <w:ind w:left="40" w:right="440"/>
        <w:spacing w:after="0" w:line="239" w:lineRule="auto"/>
        <w:rPr>
          <w:sz w:val="20"/>
          <w:szCs w:val="20"/>
          <w:color w:val="auto"/>
        </w:rPr>
      </w:pPr>
      <w:r>
        <w:rPr>
          <w:rFonts w:ascii="Times New Roman" w:cs="Times New Roman" w:eastAsia="Times New Roman" w:hAnsi="Times New Roman"/>
          <w:sz w:val="18"/>
          <w:szCs w:val="18"/>
          <w:b w:val="1"/>
          <w:bCs w:val="1"/>
          <w:color w:val="auto"/>
        </w:rPr>
        <w:t>Health Care Equipment &amp; Services</w:t>
      </w:r>
    </w:p>
    <w:p>
      <w:pPr>
        <w:spacing w:after="0" w:line="10" w:lineRule="exact"/>
        <w:rPr>
          <w:sz w:val="20"/>
          <w:szCs w:val="20"/>
          <w:color w:val="auto"/>
        </w:rPr>
      </w:pPr>
    </w:p>
    <w:p>
      <w:pPr>
        <w:ind w:left="40" w:right="360"/>
        <w:spacing w:after="0" w:line="223" w:lineRule="auto"/>
        <w:rPr>
          <w:sz w:val="20"/>
          <w:szCs w:val="20"/>
          <w:color w:val="auto"/>
        </w:rPr>
      </w:pPr>
      <w:r>
        <w:rPr>
          <w:rFonts w:ascii="Times New Roman" w:cs="Times New Roman" w:eastAsia="Times New Roman" w:hAnsi="Times New Roman"/>
          <w:sz w:val="18"/>
          <w:szCs w:val="18"/>
          <w:color w:val="auto"/>
        </w:rPr>
        <w:t>Other Investment in Portfolio Companies</w:t>
      </w:r>
      <w:r>
        <w:rPr>
          <w:rFonts w:ascii="Times New Roman" w:cs="Times New Roman" w:eastAsia="Times New Roman" w:hAnsi="Times New Roman"/>
          <w:sz w:val="23"/>
          <w:szCs w:val="23"/>
          <w:color w:val="auto"/>
          <w:vertAlign w:val="superscript"/>
        </w:rPr>
        <w:t>(b)</w:t>
      </w:r>
    </w:p>
    <w:p>
      <w:pPr>
        <w:ind w:left="40" w:right="360"/>
        <w:spacing w:after="0" w:line="213"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ind w:left="40"/>
        <w:spacing w:after="0" w:line="226" w:lineRule="auto"/>
        <w:rPr>
          <w:sz w:val="20"/>
          <w:szCs w:val="20"/>
          <w:color w:val="auto"/>
        </w:rPr>
      </w:pPr>
      <w:r>
        <w:rPr>
          <w:rFonts w:ascii="Times New Roman" w:cs="Times New Roman" w:eastAsia="Times New Roman" w:hAnsi="Times New Roman"/>
          <w:sz w:val="18"/>
          <w:szCs w:val="18"/>
          <w:b w:val="1"/>
          <w:bCs w:val="1"/>
          <w:color w:val="auto"/>
        </w:rPr>
        <w:t>Total Health Care Equipment &amp;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Equity interest held through TPG IX Cardiff CI II, L.P.</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(50.0 million units) and TPG IX Cardiff CI IV, L.P. (39.3 million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Consumer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 America</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8"/>
        </w:trPr>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900"/>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 America</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54,306</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418"/>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8"/>
        </w:trPr>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60,958</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-1416685</wp:posOffset>
            </wp:positionV>
            <wp:extent cx="712343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26606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-996950</wp:posOffset>
            </wp:positionV>
            <wp:extent cx="712343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-688340</wp:posOffset>
            </wp:positionV>
            <wp:extent cx="712343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-156845</wp:posOffset>
            </wp:positionV>
            <wp:extent cx="712343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160020</wp:posOffset>
            </wp:positionV>
            <wp:extent cx="712343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 America</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111,763</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4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 America</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67,533</w:t>
            </w:r>
          </w:p>
        </w:tc>
        <w:tc>
          <w:tcPr>
            <w:tcW w:w="8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8"/>
        </w:trPr>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179,296</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-422275</wp:posOffset>
            </wp:positionV>
            <wp:extent cx="7123430" cy="26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26606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-2540</wp:posOffset>
            </wp:positionV>
            <wp:extent cx="712343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425450</wp:posOffset>
            </wp:positionV>
            <wp:extent cx="712343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N. America</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90,241</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Asia</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8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399"/>
        </w:trPr>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104,634</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-265430</wp:posOffset>
            </wp:positionV>
            <wp:extent cx="712343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520" w:space="160"/>
            <w:col w:w="2080" w:space="380"/>
            <w:col w:w="6100"/>
          </w:cols>
          <w:pgMar w:left="320" w:top="108"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Unit Data)</w:t>
      </w:r>
    </w:p>
    <w:p>
      <w:pPr>
        <w:spacing w:after="0" w:line="200" w:lineRule="exact"/>
        <w:rPr>
          <w:sz w:val="20"/>
          <w:szCs w:val="20"/>
          <w:color w:val="auto"/>
        </w:rPr>
      </w:pPr>
    </w:p>
    <w:p>
      <w:pPr>
        <w:spacing w:after="0" w:line="287"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140" w:type="dxa"/>
            <w:vAlign w:val="bottom"/>
          </w:tcPr>
          <w:p>
            <w:pPr>
              <w:spacing w:after="0"/>
              <w:rPr>
                <w:sz w:val="16"/>
                <w:szCs w:val="16"/>
                <w:color w:val="auto"/>
              </w:rPr>
            </w:pP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162"/>
        </w:trPr>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12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76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Geography</w:t>
            </w:r>
            <w:r>
              <w:rPr>
                <w:rFonts w:ascii="Times New Roman" w:cs="Times New Roman" w:eastAsia="Times New Roman" w:hAnsi="Times New Roman"/>
                <w:sz w:val="21"/>
                <w:szCs w:val="21"/>
                <w:b w:val="1"/>
                <w:bCs w:val="1"/>
                <w:color w:val="auto"/>
                <w:vertAlign w:val="superscript"/>
              </w:rPr>
              <w:t>(a)</w:t>
            </w:r>
          </w:p>
        </w:tc>
        <w:tc>
          <w:tcPr>
            <w:tcW w:w="920" w:type="dxa"/>
            <w:vAlign w:val="bottom"/>
            <w:vMerge w:val="continue"/>
          </w:tcPr>
          <w:p>
            <w:pPr>
              <w:spacing w:after="0"/>
              <w:rPr>
                <w:sz w:val="14"/>
                <w:szCs w:val="14"/>
                <w:color w:val="auto"/>
              </w:rPr>
            </w:pP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u w:val="single" w:color="auto"/>
                <w:color w:val="auto"/>
              </w:rPr>
              <w:t>Fair Value ($)</w:t>
            </w:r>
          </w:p>
        </w:tc>
        <w:tc>
          <w:tcPr>
            <w:tcW w:w="13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245"/>
        </w:trPr>
        <w:tc>
          <w:tcPr>
            <w:tcW w:w="1480" w:type="dxa"/>
            <w:vAlign w:val="bottom"/>
            <w:vMerge w:val="continue"/>
          </w:tcPr>
          <w:p>
            <w:pPr>
              <w:spacing w:after="0"/>
              <w:rPr>
                <w:sz w:val="21"/>
                <w:szCs w:val="21"/>
                <w:color w:val="auto"/>
              </w:rPr>
            </w:pPr>
          </w:p>
        </w:tc>
        <w:tc>
          <w:tcPr>
            <w:tcW w:w="212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140" w:type="dxa"/>
            <w:vAlign w:val="bottom"/>
            <w:vMerge w:val="continue"/>
          </w:tcPr>
          <w:p>
            <w:pPr>
              <w:spacing w:after="0"/>
              <w:rPr>
                <w:sz w:val="21"/>
                <w:szCs w:val="21"/>
                <w:color w:val="auto"/>
              </w:rPr>
            </w:pPr>
          </w:p>
        </w:tc>
        <w:tc>
          <w:tcPr>
            <w:tcW w:w="13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Assets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2343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Media &amp; Entertainment</w:t>
      </w:r>
    </w:p>
    <w:p>
      <w:pPr>
        <w:spacing w:after="0" w:line="7" w:lineRule="exact"/>
        <w:rPr>
          <w:sz w:val="20"/>
          <w:szCs w:val="20"/>
          <w:color w:val="auto"/>
        </w:rPr>
      </w:pPr>
    </w:p>
    <w:p>
      <w:pPr>
        <w:ind w:left="40" w:right="360"/>
        <w:spacing w:after="0" w:line="227"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Media &amp; Entertainment</w:t>
      </w: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Software &amp; Services</w:t>
      </w:r>
    </w:p>
    <w:p>
      <w:pPr>
        <w:spacing w:after="0" w:line="31" w:lineRule="exact"/>
        <w:rPr>
          <w:sz w:val="20"/>
          <w:szCs w:val="20"/>
          <w:color w:val="auto"/>
        </w:rPr>
      </w:pPr>
    </w:p>
    <w:p>
      <w:pPr>
        <w:ind w:left="40" w:right="360"/>
        <w:spacing w:after="0" w:line="220" w:lineRule="auto"/>
        <w:rPr>
          <w:sz w:val="20"/>
          <w:szCs w:val="20"/>
          <w:color w:val="auto"/>
        </w:rPr>
      </w:pPr>
      <w:r>
        <w:rPr>
          <w:rFonts w:ascii="Times New Roman" w:cs="Times New Roman" w:eastAsia="Times New Roman" w:hAnsi="Times New Roman"/>
          <w:sz w:val="18"/>
          <w:szCs w:val="18"/>
          <w:color w:val="auto"/>
        </w:rPr>
        <w:t>Other Investment in Portfolio Companies</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40" w:right="360"/>
        <w:spacing w:after="0" w:line="219"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Software &amp; Services</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Utilities</w:t>
      </w:r>
    </w:p>
    <w:p>
      <w:pPr>
        <w:spacing w:after="0" w:line="31" w:lineRule="exact"/>
        <w:rPr>
          <w:sz w:val="20"/>
          <w:szCs w:val="20"/>
          <w:color w:val="auto"/>
        </w:rPr>
      </w:pPr>
    </w:p>
    <w:p>
      <w:pPr>
        <w:ind w:left="40" w:right="360"/>
        <w:spacing w:after="0" w:line="220"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40" w:right="360"/>
        <w:spacing w:after="0" w:line="219" w:lineRule="auto"/>
        <w:rPr>
          <w:sz w:val="20"/>
          <w:szCs w:val="20"/>
          <w:color w:val="auto"/>
        </w:rPr>
      </w:pPr>
      <w:r>
        <w:rPr>
          <w:rFonts w:ascii="Times New Roman" w:cs="Times New Roman" w:eastAsia="Times New Roman" w:hAnsi="Times New Roman"/>
          <w:sz w:val="18"/>
          <w:szCs w:val="18"/>
          <w:color w:val="auto"/>
        </w:rPr>
        <w:t>Other Investment in Portfolio Company</w:t>
      </w:r>
      <w:r>
        <w:rPr>
          <w:rFonts w:ascii="Times New Roman" w:cs="Times New Roman" w:eastAsia="Times New Roman" w:hAnsi="Times New Roman"/>
          <w:sz w:val="23"/>
          <w:szCs w:val="23"/>
          <w:color w:val="auto"/>
          <w:vertAlign w:val="superscript"/>
        </w:rPr>
        <w:t>(b)</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Utilities</w:t>
      </w:r>
    </w:p>
    <w:p>
      <w:pPr>
        <w:spacing w:after="0" w:line="200" w:lineRule="exact"/>
        <w:rPr>
          <w:sz w:val="20"/>
          <w:szCs w:val="20"/>
          <w:color w:val="auto"/>
        </w:rPr>
      </w:pPr>
    </w:p>
    <w:p>
      <w:pPr>
        <w:spacing w:after="0" w:line="325" w:lineRule="exact"/>
        <w:rPr>
          <w:sz w:val="20"/>
          <w:szCs w:val="20"/>
          <w:color w:val="auto"/>
        </w:rPr>
      </w:pPr>
    </w:p>
    <w:p>
      <w:pPr>
        <w:ind w:left="40"/>
        <w:spacing w:after="0" w:line="225" w:lineRule="auto"/>
        <w:rPr>
          <w:sz w:val="20"/>
          <w:szCs w:val="20"/>
          <w:color w:val="auto"/>
        </w:rPr>
      </w:pPr>
      <w:r>
        <w:rPr>
          <w:rFonts w:ascii="Times New Roman" w:cs="Times New Roman" w:eastAsia="Times New Roman" w:hAnsi="Times New Roman"/>
          <w:sz w:val="18"/>
          <w:szCs w:val="18"/>
          <w:b w:val="1"/>
          <w:bCs w:val="1"/>
          <w:color w:val="auto"/>
        </w:rPr>
        <w:t>Total Portfolio Companies (Cost $564,563 North America,</w:t>
      </w:r>
    </w:p>
    <w:p>
      <w:pPr>
        <w:ind w:left="40"/>
        <w:spacing w:after="0"/>
        <w:rPr>
          <w:sz w:val="20"/>
          <w:szCs w:val="20"/>
          <w:color w:val="auto"/>
        </w:rPr>
      </w:pPr>
      <w:r>
        <w:rPr>
          <w:rFonts w:ascii="Times New Roman" w:cs="Times New Roman" w:eastAsia="Times New Roman" w:hAnsi="Times New Roman"/>
          <w:sz w:val="18"/>
          <w:szCs w:val="18"/>
          <w:b w:val="1"/>
          <w:bCs w:val="1"/>
          <w:color w:val="auto"/>
        </w:rPr>
        <w:t>$75,836 Europe, $15,000 Asia)</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2220" w:type="dxa"/>
        <w:tblCellMar>
          <w:top w:w="0" w:type="dxa"/>
          <w:left w:w="0" w:type="dxa"/>
          <w:bottom w:w="0" w:type="dxa"/>
          <w:right w:w="0" w:type="dxa"/>
        </w:tblCellMar>
      </w:tblPr>
      <w:tr>
        <w:trPr>
          <w:trHeight w:val="234"/>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 America</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60,836</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8"/>
        </w:trPr>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60,836</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900"/>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 America</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186,753</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418"/>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51,812</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8"/>
        </w:trPr>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238,565</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1075"/>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418"/>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 America</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61,002</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8"/>
        </w:trPr>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90,994</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522"/>
        </w:trPr>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574"/>
        </w:trPr>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-2965450</wp:posOffset>
            </wp:positionV>
            <wp:extent cx="712343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-2647950</wp:posOffset>
            </wp:positionV>
            <wp:extent cx="712343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-2236470</wp:posOffset>
            </wp:positionV>
            <wp:extent cx="7123430"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-1816735</wp:posOffset>
            </wp:positionV>
            <wp:extent cx="712343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3430" cy="27432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-1396365</wp:posOffset>
            </wp:positionV>
            <wp:extent cx="7123430"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-864870</wp:posOffset>
            </wp:positionV>
            <wp:extent cx="712343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-539115</wp:posOffset>
            </wp:positionV>
            <wp:extent cx="712343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326"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29"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400"/>
            <w:col w:w="8320"/>
          </w:cols>
          <w:pgMar w:left="320" w:top="10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Unit Data)</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4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Geography</w:t>
            </w:r>
            <w:r>
              <w:rPr>
                <w:rFonts w:ascii="Times New Roman" w:cs="Times New Roman" w:eastAsia="Times New Roman" w:hAnsi="Times New Roman"/>
                <w:sz w:val="21"/>
                <w:szCs w:val="21"/>
                <w:b w:val="1"/>
                <w:bCs w:val="1"/>
                <w:color w:val="auto"/>
                <w:w w:val="96"/>
                <w:vertAlign w:val="superscript"/>
              </w:rPr>
              <w:t>(a)</w:t>
            </w:r>
          </w:p>
        </w:tc>
        <w:tc>
          <w:tcPr>
            <w:tcW w:w="900" w:type="dxa"/>
            <w:vAlign w:val="bottom"/>
            <w:gridSpan w:val="2"/>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Fair Value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216"/>
        </w:trPr>
        <w:tc>
          <w:tcPr>
            <w:tcW w:w="2640" w:type="dxa"/>
            <w:vAlign w:val="bottom"/>
            <w:gridSpan w:val="2"/>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120" w:type="dxa"/>
            <w:vAlign w:val="bottom"/>
            <w:gridSpan w:val="3"/>
            <w:vMerge w:val="continue"/>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w:t>
            </w: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Affiliated Investee Funds</w:t>
            </w:r>
          </w:p>
        </w:tc>
        <w:tc>
          <w:tcPr>
            <w:tcW w:w="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interest held through</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 VI</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Growth VI CS, L.P.</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2"/>
              </w:rPr>
              <w:t>NAV</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79,604</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T-POP Investment Holdings III,</w:t>
            </w: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NAV</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115,428</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T-POP Investment Holdings V,</w:t>
            </w: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2"/>
              </w:rPr>
              <w:t>NAV</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84,498</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176"/>
        </w:trPr>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T-POP Investment Holdings VI,</w:t>
            </w: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NAV</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T-POP Investment Holdings VII,</w:t>
            </w: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2"/>
              </w:rPr>
              <w:t>NAV</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196,661</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T-POP HedgeCo LLC</w:t>
            </w:r>
          </w:p>
        </w:tc>
        <w:tc>
          <w:tcPr>
            <w:tcW w:w="2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2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NAV</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Services</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70"/>
        </w:trPr>
        <w:tc>
          <w:tcPr>
            <w:tcW w:w="25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6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Affiliated Investee Funds</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$434,716 North America)</w:t>
            </w: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515,155</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57"/>
        </w:trPr>
        <w:tc>
          <w:tcPr>
            <w:tcW w:w="25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1,285,829</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88.9 %</w:t>
            </w:r>
          </w:p>
        </w:tc>
        <w:tc>
          <w:tcPr>
            <w:tcW w:w="0" w:type="dxa"/>
            <w:vAlign w:val="bottom"/>
          </w:tcPr>
          <w:p>
            <w:pPr>
              <w:spacing w:after="0"/>
              <w:rPr>
                <w:sz w:val="1"/>
                <w:szCs w:val="1"/>
                <w:color w:val="auto"/>
              </w:rPr>
            </w:pPr>
          </w:p>
        </w:tc>
      </w:tr>
      <w:tr>
        <w:trPr>
          <w:trHeight w:val="236"/>
        </w:trPr>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Dreyfus Government Cash</w:t>
            </w: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Management, 3.76%</w:t>
            </w:r>
          </w:p>
        </w:tc>
        <w:tc>
          <w:tcPr>
            <w:tcW w:w="2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8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70"/>
        </w:trPr>
        <w:tc>
          <w:tcPr>
            <w:tcW w:w="25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6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Investments, Investments</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in Affiliated Investee Funds and</w:t>
            </w: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Cash Equivalents (Cost</w:t>
            </w:r>
          </w:p>
        </w:tc>
        <w:tc>
          <w:tcPr>
            <w:tcW w:w="2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$1,170,310 North America,</w:t>
            </w: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1,456,859</w:t>
            </w:r>
          </w:p>
        </w:tc>
        <w:tc>
          <w:tcPr>
            <w:tcW w:w="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100.7 %</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$75,836 Europe, $15,000 Asia)</w:t>
            </w:r>
          </w:p>
        </w:tc>
        <w:tc>
          <w:tcPr>
            <w:tcW w:w="2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includes Europe and Middle East; Asia includes Asia and Australia.</w:t>
      </w:r>
    </w:p>
    <w:p>
      <w:pPr>
        <w:spacing w:after="0" w:line="59"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single investments included in this category that exceeded 5% of net assets.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T-POP US Aggregator (CYM), L.P. is a Cayman Islands exempted limited partnership formed on September 3, 2024. T-POP US Aggregator (CYM), L.P. with its consolidated subsidiaries collectively form the “Aggregator”. The Aggregator operates in accordance with its limited partnership agreement (as amended, restated or supplemented, the “Aggregator Partnership Agreement”).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Private Equity Opportunities, L.P. (“T-POP”) and TPG Private Equity Opportunities (TE), L.P. (the “Feeder TE”) are private funds exempt from registration under Section 3(c)(7) of the Investment Company Act of 1940, as amended (the “1940 Act”). T-POP and the Feeder TE are structured as a perpetual-life strategy, with monthly, fully-funded subscriptions and periodic repurchase offers. The Feeder TE invests all or substantially all of its assets indirectly in T-POP. In turn, T-POP invests all or substantially all of its assets in the Aggregator. The Aggregator, then in turn, invests all or substantially all of its assets through funds that hold (directly or indirectly) investments in private equity strategies (the “T-POP Investment Holdings Entities”). The Aggregator has the same investment objectives as T-POP.</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 “Parallel Investment Entity” or “Parallel Investment Entities” refers to one or more parallel vehicles established by, or at the direction of, the Management Company (as defined below) to invest alongside T-POP. The Parallel Investment Entities may be established for certain investors with particular legal, tax, regulatory, compliance, structuring or certain other operational requirements to participate in the Aggregator. Parallel Investment Entities are expected to invest directly, or indirectly through one or more intermediate entities, into the Aggregator. T-POP, the Feeder TE, the Aggregator and its consolidated subsidiaries and any Parallel Investment Entity collectively form the “T-POP Fund Complex”.</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Investment operations commenced on June 2, 2025 (the “Commencement Of Operations” or “Initial Closing Date”) when T-POP, the Feeder TE and the Parallel Investment Entity sold unregistered limited partnership units to third parties and began investing and subsequently invested those proceeds into the Aggregator.</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Private Equity Opportunities GenPar, L.P., a Delaware limited partnership, is the general partner (the “General Partner”) of T-POP, Feeder TE and the Aggregator. Overall responsibility for oversight of the Aggregator rests with the General Partner, subject to certain oversight rights held by T-POP’s board of directors. The General Partner delegates the Aggregator’s portfolio management function to T-POP Management Company, LLC (the “Management Company”), a Delaware limited liability company. The Management Company has discretion to make investments on behalf of the Aggregator and is responsible for initiating, structuring and negotiating the Aggregator’s investments, as well as actively managing each investment to seek to maximize value. Both the General Partner and Management Company are subsidiaries of TPG.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(the “Condensed Consolidated Financial Statements”) of the Aggregator have been prepared in accordance with accounting principles generally accepted in the United States of America (“U.S. GAAP”) and reflect all adjustments, consisting only of normal recurring adjustments, which are, in the opinion of management, necessary for a fair presentation of the Condensed Consolidated Financial Statements. The Aggregator is considered an investment company under U.S. GAAP and follows the accounting and reporting guidance applicable to investment companies in the Financial Accounting Standards Board Accounting Standards Codification (“ASC”)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Services-Investment Companies (“ASC 946”)</w:t>
      </w:r>
      <w:r>
        <w:rPr>
          <w:rFonts w:ascii="Times New Roman" w:cs="Times New Roman" w:eastAsia="Times New Roman" w:hAnsi="Times New Roman"/>
          <w:sz w:val="18"/>
          <w:szCs w:val="18"/>
          <w:color w:val="auto"/>
        </w:rPr>
        <w:t>. The operating results presented for interim periods are not necessarily indicative of the results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for any other interim period or for the entire year. These Condensed Consolidated Financial Statements should be read in conjunction with the Aggregator’s audited financial statements included in T-POP’s annual Report on Form 10-K for the year ended December 31, 2025,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provided under ASC 946, the Aggregator generally does not consolidate its investment in a company unless the Aggregator has a controlling financial interest in (a) an investment company or (b) an operating company whose business consists of providing services to the Aggregator. The Aggregator consolidates in its Condensed Consolidated Financial Statements T-POP Investment Holding Entities and other subsidiaries in which the Aggregator has a controlling financial interest. All significant intercompany balances and transactions have been eliminated in consolidation. At each reporting date, the Aggregator assesses whether it has a controlling financial interest in each of the T-POP Investment Holding Entities or any other reporting entities within the T-POP Fund Complex, and any associated consolidation implications.</w:t>
      </w:r>
    </w:p>
    <w:p>
      <w:pPr>
        <w:spacing w:after="0" w:line="147" w:lineRule="exact"/>
        <w:rPr>
          <w:sz w:val="20"/>
          <w:szCs w:val="20"/>
          <w:color w:val="auto"/>
        </w:rPr>
      </w:pPr>
    </w:p>
    <w:p>
      <w:pPr>
        <w:jc w:val="both"/>
        <w:ind w:firstLine="486"/>
        <w:spacing w:after="0" w:line="225" w:lineRule="exact"/>
        <w:rPr>
          <w:sz w:val="20"/>
          <w:szCs w:val="20"/>
          <w:color w:val="auto"/>
        </w:rPr>
      </w:pPr>
      <w:r>
        <w:rPr>
          <w:rFonts w:ascii="Times New Roman" w:cs="Times New Roman" w:eastAsia="Times New Roman" w:hAnsi="Times New Roman"/>
          <w:sz w:val="18"/>
          <w:szCs w:val="18"/>
          <w:color w:val="auto"/>
        </w:rPr>
        <w:t>From the commencement of operations through September 30, 2025, the Aggregator held a controlling financial interest in all of the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POP Investment Holdings Entities and, accordingly, consolidated these entities in its consolidated financial statements. During the fourth quarter of 2025, an additional investor contributed capital to certain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POP Investment Holdings Entities. As a result of these transactions, the Aggregator no longer held a controlling financial interest in certain of these entities, and such entities were deconsolidated. Following deconsolidation, the Aggregator’s retained interests in the deconsolidated entities were measured at fair value using the entities’ net asset value (“NAV”) as a practical expedient. The deconsolidation did not have a material impact on the Aggregator’s financial position, results of operations, or cash flows. In Q1, the Aggregator determined that it no longer holds a controlling financial interest in any of the T-POP Investment Holdings Entities.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in consolidated T-POP Investment Holdings Entities held by parties other than the Aggregator. As of March 31, 2026, no non-controlling interests are presented in the Statements of Assets and Liabilities as the remaining T-POP Investment Holdings Entities were deconsolidated during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management to make estimates and assumptions that affect the reported amounts of assets and liabilities and the disclosure of contingent assets and liabilities at the date of the financial statements and the reported amounts of income and expenses during the reporting period. Actual results could differ from those estimates and such differences could be material to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88" w:lineRule="exact"/>
        <w:rPr>
          <w:sz w:val="20"/>
          <w:szCs w:val="20"/>
          <w:color w:val="auto"/>
        </w:rPr>
      </w:pPr>
    </w:p>
    <w:p>
      <w:pPr>
        <w:jc w:val="both"/>
        <w:ind w:firstLine="486"/>
        <w:spacing w:after="0" w:line="236" w:lineRule="exact"/>
        <w:rPr>
          <w:sz w:val="20"/>
          <w:szCs w:val="20"/>
          <w:color w:val="auto"/>
        </w:rPr>
      </w:pPr>
      <w:r>
        <w:rPr>
          <w:rFonts w:ascii="Times New Roman" w:cs="Times New Roman" w:eastAsia="Times New Roman" w:hAnsi="Times New Roman"/>
          <w:sz w:val="18"/>
          <w:szCs w:val="18"/>
          <w:color w:val="auto"/>
        </w:rPr>
        <w:t>Cash Equivalents represent cash held in money market funds, treasury bills and other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highly liquid investments with original maturities of three months or less. Income from money market funds is recorded as Dividend Income and Interest Income in the Condensed Consolidated Statement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foreign currencies are translated into U.S. dollar amounts at the reporting date. Transactions denominated in foreign currencies, including purchases and sales of investments, and income and expenses, are translated into U.S. dollar amounts on the date of such transactions and are included in the Net Change in Unrealized Gain (Loss) on Investments on the Condensed Consolidated Statement of Operations. The Aggregator's investments may be denominated in foreign currencies and, thus, are subject to foreign currency exchange rate fluctuations. Investments are translated into U.S. dollar amounts at the reporting date and the adjustment is included in Investments, at Fair Value and Net Change in Unrealized Gain (Loss) on Investments in the Condensed Consolidated Statement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ASC Topic 820, Fair Value Measurement (“ASC 820”) establishes a hierarchy that prioritizes and ranks the level of observability of inputs used to measure investments at fair value. The observability of inputs is impacted by a number of factors, including the type of investment to which it relates, the investment’s characteristics, market conditions and other factors. The hierarchy gives the highest priority to unadjusted quoted prices in active markets for identical assets or liabilities (Level I inputs) and the lowest priority to unobservable inputs (Level III inputs).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with readily available quoted prices or for which fair value can be measured from quoted prices in active markets will typically have a higher degree of input observability and therefore require a lesser degree of judgment applied in determining their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 levels of ASC 820’s fair value hierarchy are as follows:</w:t>
      </w:r>
    </w:p>
    <w:p>
      <w:pPr>
        <w:spacing w:after="0" w:line="225" w:lineRule="exact"/>
        <w:rPr>
          <w:sz w:val="20"/>
          <w:szCs w:val="20"/>
          <w:color w:val="auto"/>
        </w:rPr>
      </w:pPr>
    </w:p>
    <w:p>
      <w:pPr>
        <w:ind w:left="980" w:right="2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Quoted prices (unadjusted) in active markets for identical financial instruments at the measurement date are used. The type of investments generally included in Level I are publicly listed securities in an active market and investments in money market funds.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Pricing inputs are other than quoted prices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financial instruments generally classified in this category include securities with less liquidity traded in active markets, securities traded in other than active markets, corporate bonds and loans, foreign currency forward contracts and government and agency securities.</w:t>
      </w:r>
    </w:p>
    <w:p>
      <w:pPr>
        <w:spacing w:after="0" w:line="187"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Pricing inputs are unobservable and include situations where there is little, if any, market activity for the financial instrument. The inputs into the determination of fair value require significant judgment and estimation. The types of instruments generally included in Level III are privately held debt and equity securities.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may fall into different levels of the fair value hierarchy. In such cases, the level in the fair value hierarchy within which the fair value measurement in its entirety falls has been determined based on the lowest level input (with Level III being the lowest) that is significant to the fair value measurement in its entirety. Assessing the significance of a particular input to the fair value measurement in its entirety requires judgment and consideration of factors specific to the financial instrument. The categorization of an instrument within the hierarchy is based upon the pricing transparency of the instrument and does not necessarily correspond to the perceived risk of that instrument.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 and Investments in Affiliated Investee Funds at Fair Value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Aggregator values its investments at fair value in accordance with ASC 820. Fair value is the amount that would be received to sell an asset or paid to transfer a liability, in an orderly transaction between market participants at the measurement date. The Aggregator's investments are valued using valuation methodologies applied on a consistent basis as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Investments or Instruments that are Exchange Traded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Securities that are exchange traded and for which a quoted market exists are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may include legal restrictions limiting their purchase and sale for a period of time, such as may be required under SEC Rule 144. A discount to the publicly traded price may be appropriate in those cases; the amount of the discount, if taken, shall be determined based on the time period that must pass before the restricted security becomes unrestricted or otherwise available for sale.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Investments or Instruments that are not Exchange Traded</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absence of observable market prices, investment fair values are determined by applying methodologies on a consistent basis. For some investments little market activity may exist. The determination of fair value is then based on the best information available in the circumstances and may incorporate management’s own assumptions and involve a significant degree of judgment, taking into consideration a combination of internal and external factors, such as portfolio company performance and market and economic conditions. The Aggregator’s recent purchase transaction value may be a strong indicator of fair value and, as such, the Aggregator may continue to carry the investment at its transaction value for the first several reporting periods following the purchase of the investment, absent extraordinary factors. When the fair value is determined, it incorporates the latest available data, including values provided by external valuation firms, as well as any cash flow activity related to the investment during the month, updated quarterly financials, where applicable, and market movements. The methodology for determining the fair values of investments in operating companies may include either the income approach, market approach, or both:</w:t>
      </w:r>
    </w:p>
    <w:p>
      <w:pPr>
        <w:spacing w:after="0" w:line="188" w:lineRule="exact"/>
        <w:rPr>
          <w:sz w:val="20"/>
          <w:szCs w:val="20"/>
          <w:color w:val="auto"/>
        </w:rPr>
      </w:pPr>
    </w:p>
    <w:p>
      <w:pPr>
        <w:jc w:val="both"/>
        <w:ind w:left="980" w:hanging="486"/>
        <w:spacing w:after="0" w:line="25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approach is a valuation technique that provides an estimation of the fair value of a business based on market prices in actual or anticipated transactions and on asking prices for similar businesses. The valuation process is based on a comparison and correlation between the subject company and other comparable companies, transactions, and/or market data points. Consideration is given to various factors, such as the nature of business and performance of the subject company including its key performance metrics to arrive at an estimation of the fair value of the subject company’s business.</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comparable company method is a valuation technique where reliance is placed on valuation multiples of comparable companies. Comparable companies are selected based on criteria such as, but not limited to, comparable industry and similar fundamentals and stage of development. Premiums or discounts may be applied to the comparable company’s multiples, if deemed reasonable, typically to calibrate the multiple to a recent deal price.</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comparable transaction method is a valuation technique where reliance is placed on valuation multiples from comparable transactions. Comparable transactions are selected based on criteria such as comparable industries, similar fundamentals, and stage of development, among other considerations.</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approach is a valuation technique that provides an estimation of the fair value of a business based on expectations about the cash flows expected to be derived from the business in the future. The income approach begins with an estimation of the annual cash flows expected to be generated over a discrete projection period, which are then converted to their present value equivalent using a rate of return appropriate for the risk of achieving the projected cash flows. Similarly, a residual value of the business, if any, is estimated beyond the discrete projection period and present valued to the valuation date. The aggregated present value of the estimated cash flows is then added to the present value equivalent of the residual value of the business to arrive at an estimate of fair value.</w:t>
      </w:r>
    </w:p>
    <w:p>
      <w:pPr>
        <w:spacing w:after="0" w:line="18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facts and circumstances associated with the investment, different methodologies may be used including option value, contingent claims or scenario analysis, yield analysis, projected cash flow through maturity or expiration, probability weighted methods or recent rounds of financing.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Fund Investments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Investments in affiliated or unaffiliated investee funds (“Investee Funds”) are generally valued using the reported net asset value (“NAV” or “Net Asset Value”) of the Investee Funds as a practical expedient for fair value. The Aggregator may, as a practical expedient, estimate the fair value of an Investee Fund based on NAV if the reported NAV of the Investee Fund is calculated in a manner consistent with the measurement principles of ASC 946 as of the reporting entity’s measurement date. The Aggregator has internal processes to independently evaluate the fair value measurement process utilized by the underlying Investee Fund to calculate the Investee Fund’s NAV, both of which are in accordance with ASC 946. Such internal processes include the evaluation of the Investee Fund’s own process and related internal controls in place to estimate the fair value of its underlying investments that are included in the NAV calculation, performing ongoing operational due diligence, review of the Investee Fund’s financial statements and ongoing monitoring of other relevant qualitative and quantitative factors. For direct or indirect investments in unaffiliated funds, the Aggregator generally uses the latest capital account statement received from the unaffiliated GP as a starting baseline. Such information received from the unaffiliated GP is typically one quarter behind the valuation date. If the Aggregator determines, based on its own due diligence and investment monitoring procedures, that NAV does not represent fair value or if the investee fund is not an investment company, the Aggregator will estimate the fair value in good faith and in a manner that it reasonably chooses, in accordance with its valuation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Securities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fair values of certain debt positions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Aggregator generally determines fair value by comparing against similar investments. The Aggregator reviews and analyzes prices obtained from external pricing sources to evaluate their reliability and accuracy, and at times, exclude vendor prices and broker quotations that the Aggregator does not believe are representative of fair value. Certain financial instruments may not trade or prices are not readily available, or trade infrequently and, when they are traded, the price may be unobservable and, as a result, multiple external pricing sources may not be available. In such instances, the Aggregator may use an internal pricing model as either a corroborating or sole data point in determining the price. The Aggregator generally engages specialized third-party valuation service providers to assess and corroborate the valuation of a selection of the investments on a periodic basis. As of March 31, 2026, the Aggregator does not hold any debt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Aggregator is treated as a partnership for U.S. federal and state income tax purposes and is not subject to U.S. federal and state income tax. As a pass-through entity, each partner or member therein is responsible for income taxes related to income or loss based on their respective share of an entity’s income and expenses. It is possible that the Aggregator may be considered a publicly traded partnership and not meet the qualifying income exception in certain years. In such a scenario, the Aggregator would be treated as a publicly traded partnership taxed as a corporation, rather than a partnership. The investors of the Aggregator would be treated as shareholders in a corporation, and the Aggregator itself would become taxable as a corporation for U.S. federal, state and/or local income tax purposes. In addition, the Aggregator may operate, in part, through subsidiaries that may be treated as corporations for U.S. and non-U.S. tax purposes and therefore may be subject to current and deferred U.S. federal, state and/or local income taxes at the subsidiary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Aggregator recognizes uncertain tax positions when it is more likely than not that the position will be sustained by the taxing authorities, based on the technical merits of the positions. The tax positions that meet the more-likely-than-not threshold are recognized based on the largest benefit that has a greater than 50% likelihood of being realized upon ultimate settlement. The Aggregator reevaluates its tax positions each period in which new information becomes available. The Aggregator’s policy is to recognize tax related interest and penalties, if applicable, as a component of the provision for income taxes on the Condensed Consolidated Statement of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Interest Income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Aggregator expects to collect such amounts.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2026, dividend and interest income primarily consists of income from money market funds.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or Losses and Net Change in Unrealized Gain (Loss) on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Realized gains or losses are measured as the difference between the net proceeds from the sale, repayment, or disposal of an asset and the adjusted cost basis of the asset. Net change in unrealized gain (loss) reflects the change in investment values during the reporting period, including any reversal of previously recorded unrealized gain or loss when gains or losses are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one-year anniversary of the Initial Closing Date, organizational expenses are paid by the Management Company. After the Registrant, Feeder TE and the Parallel Investment Entity accepted third party investors and commenced investment operations, all costs incurred associated with the organization of the T-POP Fund Complex were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and Fair Value Measurement</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the Aggregator’s investments held at fair value by the fair value hierarchy levels as of March 31, 2026 and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NAV</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221,928</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221,928</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Portfolio Companies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Affiliated Investee Funds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1,532,794</w:t>
            </w:r>
          </w:p>
        </w:tc>
      </w:tr>
      <w:tr>
        <w:trPr>
          <w:trHeight w:val="223"/>
        </w:trPr>
        <w:tc>
          <w:tcPr>
            <w:tcW w:w="40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1,532,794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1,754,722</w:t>
            </w:r>
          </w:p>
        </w:tc>
      </w:tr>
      <w:tr>
        <w:trPr>
          <w:trHeight w:val="21"/>
        </w:trPr>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4"/>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2"/>
        </w:trPr>
        <w:tc>
          <w:tcPr>
            <w:tcW w:w="4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NAV</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171,030</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171,030</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4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Portfolio Companies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770,674</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770,674</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Affiliated Investee Funds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515,155</w:t>
            </w:r>
          </w:p>
        </w:tc>
      </w:tr>
      <w:tr>
        <w:trPr>
          <w:trHeight w:val="223"/>
        </w:trPr>
        <w:tc>
          <w:tcPr>
            <w:tcW w:w="40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515,155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1,285,829</w:t>
            </w:r>
          </w:p>
        </w:tc>
      </w:tr>
      <w:tr>
        <w:trPr>
          <w:trHeight w:val="21"/>
        </w:trPr>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shown in the above tables, there are no Level III investments held by the Aggregator as of March 31, 2026. The following table summarizes the quantitative inputs and assumptions used for valuation of investments categorized in Level III of the fair value hierarchy as of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Impact to</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Valuation from</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4"/>
                <w:szCs w:val="14"/>
                <w:color w:val="auto"/>
              </w:rPr>
            </w:pPr>
          </w:p>
        </w:tc>
        <w:tc>
          <w:tcPr>
            <w:tcW w:w="21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100" w:type="dxa"/>
            <w:vAlign w:val="bottom"/>
          </w:tcPr>
          <w:p>
            <w:pPr>
              <w:spacing w:after="0"/>
              <w:rPr>
                <w:sz w:val="14"/>
                <w:szCs w:val="14"/>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14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Ranges</w:t>
            </w:r>
          </w:p>
        </w:tc>
        <w:tc>
          <w:tcPr>
            <w:tcW w:w="1240" w:type="dxa"/>
            <w:vAlign w:val="bottom"/>
            <w:gridSpan w:val="2"/>
            <w:vMerge w:val="continue"/>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 Increase in</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w:t>
            </w:r>
          </w:p>
        </w:tc>
        <w:tc>
          <w:tcPr>
            <w:tcW w:w="0" w:type="dxa"/>
            <w:vAlign w:val="bottom"/>
          </w:tcPr>
          <w:p>
            <w:pPr>
              <w:spacing w:after="0"/>
              <w:rPr>
                <w:sz w:val="1"/>
                <w:szCs w:val="1"/>
                <w:color w:val="auto"/>
              </w:rPr>
            </w:pPr>
          </w:p>
        </w:tc>
      </w:tr>
      <w:tr>
        <w:trPr>
          <w:trHeight w:val="211"/>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LTM EBITDA</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Portfolio Companies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419,357</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Comparables</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3.8x - 27.5x</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20.5x</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FWD EBITDA</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21.0x - 22.0x</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21.5x</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FWD Revenue</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5.0x-5.0x</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5.0x</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Operating and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236,990</w:t>
            </w:r>
          </w:p>
        </w:tc>
        <w:tc>
          <w:tcPr>
            <w:tcW w:w="100" w:type="dxa"/>
            <w:vAlign w:val="bottom"/>
          </w:tcPr>
          <w:p>
            <w:pPr>
              <w:spacing w:after="0"/>
              <w:rPr>
                <w:sz w:val="21"/>
                <w:szCs w:val="21"/>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Last Transaction Price</w:t>
            </w:r>
          </w:p>
        </w:tc>
        <w:tc>
          <w:tcPr>
            <w:tcW w:w="10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Performance</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EV/EBITDA</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54,306</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SOTP</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12.0x - 14.0x</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13.4x</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60,021</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248"/>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gridSpan w:val="2"/>
            <w:vMerge w:val="restart"/>
          </w:tcPr>
          <w:p>
            <w:pPr>
              <w:jc w:val="right"/>
              <w:ind w:right="1391"/>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fair value of investments for which Level III inputs were used to determine the fair value for the three months ended March 31,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6"/>
          </w:tcPr>
          <w:p>
            <w:pPr>
              <w:jc w:val="center"/>
              <w:ind w:left="955"/>
              <w:spacing w:after="0"/>
              <w:rPr>
                <w:sz w:val="20"/>
                <w:szCs w:val="20"/>
                <w:color w:val="auto"/>
              </w:rPr>
            </w:pPr>
            <w:r>
              <w:rPr>
                <w:rFonts w:ascii="Times New Roman" w:cs="Times New Roman" w:eastAsia="Times New Roman" w:hAnsi="Times New Roman"/>
                <w:sz w:val="16"/>
                <w:szCs w:val="16"/>
                <w:b w:val="1"/>
                <w:bCs w:val="1"/>
                <w:color w:val="auto"/>
              </w:rPr>
              <w:t>Level III Financial Assets at Fair Value</w:t>
            </w:r>
          </w:p>
        </w:tc>
        <w:tc>
          <w:tcPr>
            <w:tcW w:w="1160" w:type="dxa"/>
            <w:vAlign w:val="bottom"/>
            <w:tcBorders>
              <w:bottom w:val="single" w:sz="8" w:color="auto"/>
            </w:tcBorders>
          </w:tcPr>
          <w:p>
            <w:pPr>
              <w:spacing w:after="0"/>
              <w:rPr>
                <w:sz w:val="18"/>
                <w:szCs w:val="18"/>
                <w:color w:val="auto"/>
              </w:rPr>
            </w:pPr>
          </w:p>
        </w:tc>
      </w:tr>
      <w:tr>
        <w:trPr>
          <w:trHeight w:val="211"/>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6"/>
          </w:tcPr>
          <w:p>
            <w:pPr>
              <w:jc w:val="center"/>
              <w:ind w:left="935"/>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160" w:type="dxa"/>
            <w:vAlign w:val="bottom"/>
            <w:tcBorders>
              <w:bottom w:val="single" w:sz="8" w:color="auto"/>
            </w:tcBorders>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Companies</w:t>
            </w: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540" w:type="dxa"/>
            <w:vAlign w:val="bottom"/>
          </w:tcPr>
          <w:p>
            <w:pPr>
              <w:spacing w:after="0"/>
              <w:rPr>
                <w:sz w:val="18"/>
                <w:szCs w:val="18"/>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770,674</w:t>
            </w:r>
          </w:p>
        </w:tc>
      </w:tr>
      <w:tr>
        <w:trPr>
          <w:trHeight w:val="230"/>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Transfer Out of Level III </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(770,674)</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2026, the Aggregator deconsolidated certain T-POP Investment Holdings Entities in which the Aggregator did not have controlling financial interest. Accordingly, the Level III investments held at the deconsolidated T-POP Investment Holdings Entities were transferred out of Level III. The Aggregator measures its investment in each deconsolidated T-POP Investment Holdings Entity using the respective entity’s reported NAV as a practical expedient. The deconsolidation did not have a material impact on the Aggregator’s financial position, ongoing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 as a Practical Expedient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table summarizes investments that estimate fair value using NAV as a practical expedient. This includes information such as investment strategy, or industry, unfunded commitments (if applicable) and the fair value of the respective investments. As of March 31, 2026, a majority of these investments may not be redeemed at or within three months of the reporting date and certain investments may not be sold without a general partner’s consent. Certain investments cannot be redeemed and distributions received will be a result of income and/or sales of underlying assets of each investment; however, an estimate of the period of time over which the underlying assets are expected to be liquidated for such investments cannot be made.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investments that estimate fair value using NAV as a practical expedient as of March 31, 2026: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NAV as a Practical Expedient Investments by Industry</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Unfunded Commitment</w:t>
            </w:r>
          </w:p>
        </w:tc>
        <w:tc>
          <w:tcPr>
            <w:tcW w:w="380" w:type="dxa"/>
            <w:vAlign w:val="bottom"/>
          </w:tcPr>
          <w:p>
            <w:pPr>
              <w:spacing w:after="0"/>
              <w:rPr>
                <w:sz w:val="18"/>
                <w:szCs w:val="18"/>
                <w:color w:val="auto"/>
              </w:rPr>
            </w:pPr>
          </w:p>
        </w:tc>
        <w:tc>
          <w:tcPr>
            <w:tcW w:w="166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T-POP Investment Holdings I, L.P.</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402,029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T-POP Investment Holdings II, L.P.</w:t>
            </w:r>
          </w:p>
        </w:tc>
        <w:tc>
          <w:tcPr>
            <w:tcW w:w="2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197,450</w:t>
            </w: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T-POP Investment Holdings III, L.P.</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T-POP Investment Holdings IV, L.P.</w:t>
            </w:r>
          </w:p>
        </w:tc>
        <w:tc>
          <w:tcPr>
            <w:tcW w:w="2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306,505</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T-POP Investment Holdings V, L.P.</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T-POP Investment Holdings VI, L.P.</w:t>
            </w:r>
          </w:p>
        </w:tc>
        <w:tc>
          <w:tcPr>
            <w:tcW w:w="2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176,337</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T-POP Investment Holdings VII, L.P.</w:t>
            </w:r>
          </w:p>
        </w:tc>
        <w:tc>
          <w:tcPr>
            <w:tcW w:w="2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196,038</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6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investments that estimate fair value using NAV as a practical expedient as of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NAV as a Practical Expedient Investments by Industry</w:t>
            </w:r>
          </w:p>
        </w:tc>
        <w:tc>
          <w:tcPr>
            <w:tcW w:w="16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Unfunded Commitment</w:t>
            </w:r>
          </w:p>
        </w:tc>
        <w:tc>
          <w:tcPr>
            <w:tcW w:w="400" w:type="dxa"/>
            <w:vAlign w:val="bottom"/>
          </w:tcPr>
          <w:p>
            <w:pPr>
              <w:spacing w:after="0"/>
              <w:rPr>
                <w:sz w:val="18"/>
                <w:szCs w:val="18"/>
                <w:color w:val="auto"/>
              </w:rPr>
            </w:pPr>
          </w:p>
        </w:tc>
        <w:tc>
          <w:tcPr>
            <w:tcW w:w="166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6"/>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0"/>
        </w:trPr>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Growth VI</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79,604</w:t>
            </w:r>
          </w:p>
        </w:tc>
      </w:tr>
      <w:tr>
        <w:trPr>
          <w:trHeight w:val="229"/>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T-POP Investment Holdings III, L.P.</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115,428</w:t>
            </w:r>
          </w:p>
        </w:tc>
      </w:tr>
      <w:tr>
        <w:trPr>
          <w:trHeight w:val="22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T-POP Investment Holdings V, L.P.</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84,498</w:t>
            </w:r>
          </w:p>
        </w:tc>
      </w:tr>
      <w:tr>
        <w:trPr>
          <w:trHeight w:val="230"/>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T-POP Investment Holdings VI, L.P.</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39,865</w:t>
            </w:r>
          </w:p>
        </w:tc>
      </w:tr>
      <w:tr>
        <w:trPr>
          <w:trHeight w:val="22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T-POP Investment Holdings VII, L.P.</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196,661</w:t>
            </w:r>
          </w:p>
        </w:tc>
      </w:tr>
      <w:tr>
        <w:trPr>
          <w:trHeight w:val="230"/>
        </w:trPr>
        <w:tc>
          <w:tcPr>
            <w:tcW w:w="7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T-POP HedgeCo LLC</w:t>
            </w:r>
          </w:p>
        </w:tc>
        <w:tc>
          <w:tcPr>
            <w:tcW w:w="1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3"/>
        </w:trPr>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237,373</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515,155</w:t>
            </w:r>
          </w:p>
        </w:tc>
      </w:tr>
      <w:tr>
        <w:trPr>
          <w:trHeight w:val="21"/>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6"/>
          <w:szCs w:val="16"/>
          <w:color w:val="auto"/>
        </w:rPr>
        <w:t>three months ended March 31, 2026</w:t>
      </w:r>
      <w:r>
        <w:rPr>
          <w:rFonts w:ascii="Times New Roman" w:cs="Times New Roman" w:eastAsia="Times New Roman" w:hAnsi="Times New Roman"/>
          <w:sz w:val="18"/>
          <w:szCs w:val="18"/>
          <w:color w:val="auto"/>
        </w:rPr>
        <w:t xml:space="preserve">, unrealized gains on investments in affiliated investee funds totaled </w:t>
      </w:r>
      <w:r>
        <w:rPr>
          <w:rFonts w:ascii="Times New Roman" w:cs="Times New Roman" w:eastAsia="Times New Roman" w:hAnsi="Times New Roman"/>
          <w:sz w:val="16"/>
          <w:szCs w:val="16"/>
          <w:color w:val="auto"/>
        </w:rPr>
        <w:t>$12.3 million</w:t>
      </w:r>
      <w:r>
        <w:rPr>
          <w:rFonts w:ascii="Times New Roman" w:cs="Times New Roman" w:eastAsia="Times New Roman" w:hAnsi="Times New Roman"/>
          <w:sz w:val="18"/>
          <w:szCs w:val="18"/>
          <w:color w:val="auto"/>
        </w:rPr>
        <w:t xml:space="preserve"> and is included in the Net Change in Unrealized Gain (Loss) on Investments within the Condensed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Affiliated Investee Funds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presents investments owned by the T-POP Investment Holdings entities for which the Aggregator’s combined share of fair values is in excess of 5% of the Aggregator’s net asset value. The table below is exclusive of the Aggregator’s share in the T-POP Investment Holdings entities’ other assets and liabilities, including borrowings, where applicable. The Aggregator’s ability to realize the value of the underlying investments is contingent upon the T-POP Investment Holdings entities’ ability to meet its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Investment Name</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Type of Investment</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Geography</w:t>
            </w: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Aggregator’s Share of</w:t>
            </w:r>
          </w:p>
        </w:tc>
        <w:tc>
          <w:tcPr>
            <w:tcW w:w="1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 of Net Assets</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3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T-POP Investment Holdings</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 L.P.</w:t>
            </w: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Creative Planning</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Equity</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Business Services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T-POP Investment Holdings</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IV, L.P.</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Growth VI</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Equity</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Various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 America</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87,794</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Aggregator, at the direction of the General Partner, has the authority to issue an unlimited number of Class I, Class R-I, and Class F Units (each, an “Aggregator Unit”). The Aggregator has two limited partners, T-POP and a Parallel Investment Entity. All classes of units are issued to both the T-POP limited partner and the Parallel Investment Entity limited partner. T-POP and the Parallel Investment Entity receive monthly subscriptions from their investors, which are in turn invested into the Aggregator. T-POP and the Parallel Investment Entity are issued Class I, Class R-I and Class F Units in exchange for their contributions to the Aggregator.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term “Transactional NAV” refers to the price at which transactions in the Aggregator’s Units are made, calculated in accordance with a valuation policy that has been approved by the Board of Directors. The purchase price per Aggregator Unit of each limited partner is equal to the Transactional NAV per Aggregator Unit for such limited partner as of the last calendar day of the immediately preceding month. Before the Aggregator determined its first Transactional NAV, the initial purchase price for the Aggregator’s Units was $25.00 per Aggregator Unit. The Aggregator’s Transactional NAV was first determined as of the end of the first full month after the Initial Closing Date. Thereafter, the Transactional NAV is based on the month-end values of investments, the addition of the value of any other assets such as cash and the deduction of any liabilities.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Aggregator Unit issuances related to monthly contributions are effective the first calendar day of each month. Aggregator Units are issued at a price per Aggregator Unit equivalent to the Aggregator’s most recent Transactional NAV per Aggregator Unit available for Class I, Class R-I and Class F Units, which is the Aggregator’s prior month-end Transactional NAV per Aggregator Unit.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transactions in the Units during the three months ended March 31, 2026: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Class I Units</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Class R-I Units</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Class F Units</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 Units</w:t>
            </w:r>
          </w:p>
        </w:tc>
      </w:tr>
      <w:tr>
        <w:trPr>
          <w:trHeight w:val="22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Units Outstanding as of December 31, 2025</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10,350,333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29,067,507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4,345,450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43,763,290</w:t>
            </w: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Issued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936,568</w:t>
            </w:r>
          </w:p>
        </w:tc>
        <w:tc>
          <w:tcPr>
            <w:tcW w:w="100" w:type="dxa"/>
            <w:vAlign w:val="bottom"/>
          </w:tcPr>
          <w:p>
            <w:pPr>
              <w:spacing w:after="0"/>
              <w:rPr>
                <w:sz w:val="19"/>
                <w:szCs w:val="19"/>
                <w:color w:val="auto"/>
              </w:rPr>
            </w:pPr>
          </w:p>
        </w:tc>
        <w:tc>
          <w:tcPr>
            <w:tcW w:w="16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9,449,657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553,968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10,940,193</w:t>
            </w: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Redeemed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(338,758)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(544,696)</w:t>
            </w:r>
          </w:p>
        </w:tc>
      </w:tr>
      <w:tr>
        <w:trPr>
          <w:trHeight w:val="230"/>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Unit Transfer Between Classes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(262,982)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320,405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Units Outstanding as of March 31,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11,138,134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37,915,424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5,105,229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54,158,787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Program</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the Aggregator Partnership Agreement, the General Partner can cause the Aggregator to offer to redeem Aggregator Units from limited partners to match any repurchase offers made by T-POP and any Parallel Investment Fund. Any redemption of Aggregator Units will be effected by the Aggregator as needed to comply with the redemption program of T-POP and any Parallel Investment Fund and otherwise as determined by the General Partner. A Parallel Investment Fund may withdraw entirely from the Aggregator and have all of its Aggregator Units redeemed by the Aggregator only with the consent of T-POP, including, if applicable, approval by T-POP’s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Line of Credit Arrangement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26, 2025, a subsidiary of the Aggregator, as well as any additional borrower entities that may be added and removed from time to time (the “Borrowers”), entered into an unsecured, uncommitted line of credit (the “Line of Credit”) up to a maximum amount of $250.0 million with TPG Operating Group II, L.P. (the “Lender”), an affiliate of the General Partner. The line of credit expires on August 26, 2026, subject to six-month extension options requiring the Lender’s approval (the “Line Availability End Date”).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Under the Line of Credit, the interest rate on the unpaid principal amount of each loan made to the Borrower is the then-current rate offered by a third-party lender or, if no such rate is available, Secured Overnight Financing Rate (“SOFR”) applicable to such loan plus 3.50%. Each advance under the Line of Credit is repayable on the earliest of (1) the 180th day following the earlier of (A) the Lender’s demand and (B) the Line Availability End Date, and</w:t>
      </w:r>
    </w:p>
    <w:p>
      <w:pPr>
        <w:spacing w:after="0" w:line="1" w:lineRule="exact"/>
        <w:rPr>
          <w:sz w:val="20"/>
          <w:szCs w:val="20"/>
          <w:color w:val="auto"/>
        </w:rPr>
      </w:pPr>
    </w:p>
    <w:p>
      <w:pPr>
        <w:jc w:val="both"/>
        <w:ind w:firstLine="8"/>
        <w:spacing w:after="0" w:line="251"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date of repayment for each loan, which date shall not be later than 364 days following the borrowing of such loan, unless the Lender otherwise consents. To the extent the Borrowers have not repaid all loans and other obligations under the line of credit after a repayment event has occurred, the Borrowers shall use commercially reasonable efforts to apply excess available cash proceeds to the repayment of such loans and other obligations; provided that the Borrowers will be permitted to (w) make payments to fulfill any repurchase requests pursuant to the Aggregator’s redemption program on the terms substantially consistent with those described in the Aggregator’s filings with the Securities and Exchange Commission, (x) use funds to close any acquisition which the Aggregator entered into prior to receiving a demand notice, (y) make distributions to avoid any entity level tax, and (z) pay any income taxes when due. The Line of Credit also permits voluntary prepayment of principal and accrued interest without any penalty other than customary breakage costs subject to the Lender’s reasonable determination. Each Borrower may withdraw from the Line of Credit at the time all such obligations held by such Borrower to the Lender under the Line of Credit have been repaid to the Lender in full. The Line of Credit contains customary events of default. As is customary in such financings, if an event of default occurs under the Line of Credit, the Lender may accelerate the repayment of amounts outstanding under the Line of Credit and exercise other remedies subject, in certain instances, to the expiration of an applicable cure period.</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None of the Lender and its assignees shall have any recourse to any general partner of any Borrower, any investor of any Borrower, including the Aggregator, or any of their respective assets for any indebtedness or other monetary obligation incurred under the Line of Credit. There were no borrowings during the </w:t>
      </w:r>
      <w:r>
        <w:rPr>
          <w:rFonts w:ascii="Times New Roman" w:cs="Times New Roman" w:eastAsia="Times New Roman" w:hAnsi="Times New Roman"/>
          <w:sz w:val="16"/>
          <w:szCs w:val="16"/>
          <w:color w:val="auto"/>
        </w:rPr>
        <w:t>three months ended March 31, 2026</w:t>
      </w:r>
      <w:r>
        <w:rPr>
          <w:rFonts w:ascii="Times New Roman" w:cs="Times New Roman" w:eastAsia="Times New Roman" w:hAnsi="Times New Roman"/>
          <w:sz w:val="18"/>
          <w:szCs w:val="18"/>
          <w:color w:val="auto"/>
        </w:rPr>
        <w:t xml:space="preserve"> and no amounts outstanding under the Line of Credit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Aggregator has entered into a limited partnership agreement as amended and restated with the General Partner. Under the terms of the Aggregator’s Partnership Agreement, overall responsibility for Aggregator’s oversight rests with the General Partner, subject to certain oversight rights held by T-POP’s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Registrant and a Parallel Investment Entity entered into a management agreement with the Management Company (the “Management Agreement”). The Management Company shall provide portfolio management, risk management and other services to the Registrant and the Parallel Investment Entity (and in the General Partner’s discretion, to any subsidiary of the Registrant and the Parallel Investment Entity) during the term as the Registrant, Parallel Investment Entity and the Management Company shall reasonably agree. Management Fees, in accordance with the Management Agreement, are recognized at the Registrant and the Parallel Investment Entity. Refer to Note 5. “Related Party Transactions” within the Notes to the Condensed Financial Statements of the Registrant for further details of the Management Agreement.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T-POP Investment Holdings Entities that are consolidated by the Aggregator entered into respective management agreements (the “Investment Holdings Management Agreements”) with the Management Company. Pursuant to the terms of the Investment Holdings Management Agreements, management fees and maintenance fees are calculated and paid by the respective consolidated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General Partner, Management Company, Dealer Manager, Feeder TE, and Parallel Investment Entities, the Registrant, and other vehicles sponsored, advised and/or managed by TPG or its affiliates are affiliates of the Aggregator.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Affiliates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Aggregator may from time to time enter into transactions with certain affiliates. Such transactions are subject to oversight and, where required, approval by the independent directors of T-POP, and are conducted in accordance with the terms of the T-POP’s limited partnership agreement and applicable policies and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Aggregator participated in a post-closing syndication transaction to acquire additional interests in one existing investment. The additional equity interests were purchased from a fund managed by an affiliate of the General Partner at a purchase price of $11.0 million, reflecting cost of the investment plus associated financing costs for the time the investments were held by such affiliate. There were no other similar transactions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Management Company has agreed to advance organizational expenses, on the Aggregator’s behalf through the first anniversary of the Aggregator’s Initial Closing. The Aggregator will reimburse the Management Company for all such advanced expenses ratably over the 60 months following the anniversary of the Initial Closing Date. As of March 31, 2026, the Management Company and its affiliates have incurred organizational expenses amounting to $7.3 million on the Aggregator’s behalf, which are included in Organizational Costs Payable on the Condensed Consolidated Statement of Assets and Liabilities.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Aggregator had unfunded commitments of $262.3 million and $237.4 million in affiliated investee funds as of March 31, 2026 and December 31, 2025, respectively. The Aggregator had no unfunded commitments in portfolio companies as of March 31, 2026 and $82.2 million as of December 31, 2025.</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Aggregator may, from time to time, be party to various legal matters arising in the ordinary course of business, including claims and litigation proceedings. As of March 31, 2026, the Aggregator was not subject to any material litigation nor was the Aggregator aware of any material litigation threatened against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the Aggregator has not identified any uncertain tax positions that require recognition or disclosure. The Aggregator files its tax returns as prescribed by the tax laws of the jurisdictions in which it operates. In the normal course of business, the Aggregator is subject to examination by U.S. federal, state, local and foreign tax authorities. Although the outcome of tax audits is always uncertain, the Aggregator does not believe the outcome of any future audit will have a material adverse effect on the Aggregator’s Condensed Consolidated Financial Statements.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among other provisions, extends or reinstates certain provisions of the 2017 Tax Cuts and Jobs Act (TCJA). The legislation has multiple effective dates, with certain provisions effective in 2025 and others implemented through 2027. The OBBBA did not have a material impact to the Aggregator’s Condensed Consolidated Financial Statements for the three months ended March 31, 2026. The Aggregator will continue to evaluate its future impact as regulations are issued by the U.S. Department of the Treasury.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T-POP US Aggregator (CYM),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Dollars are in Thousands, Except Unit and Per Unit Data, Except Where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Financial Highlights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the financial highlights of the Aggregator attributed to each Class of Units: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Class I Units</w:t>
            </w:r>
          </w:p>
        </w:tc>
        <w:tc>
          <w:tcPr>
            <w:tcW w:w="3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Class R-I Units</w:t>
            </w:r>
          </w:p>
        </w:tc>
        <w:tc>
          <w:tcPr>
            <w:tcW w:w="520" w:type="dxa"/>
            <w:vAlign w:val="bottom"/>
          </w:tcPr>
          <w:p>
            <w:pPr>
              <w:spacing w:after="0"/>
              <w:rPr>
                <w:sz w:val="18"/>
                <w:szCs w:val="18"/>
                <w:color w:val="auto"/>
              </w:rPr>
            </w:pPr>
          </w:p>
        </w:tc>
        <w:tc>
          <w:tcPr>
            <w:tcW w:w="202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Class F Units</w:t>
            </w:r>
          </w:p>
        </w:tc>
        <w:tc>
          <w:tcPr>
            <w:tcW w:w="0" w:type="dxa"/>
            <w:vAlign w:val="bottom"/>
          </w:tcPr>
          <w:p>
            <w:pPr>
              <w:spacing w:after="0"/>
              <w:rPr>
                <w:sz w:val="1"/>
                <w:szCs w:val="1"/>
                <w:color w:val="auto"/>
              </w:rPr>
            </w:pPr>
          </w:p>
        </w:tc>
      </w:tr>
      <w:tr>
        <w:trPr>
          <w:trHeight w:val="211"/>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Unit Data</w:t>
            </w:r>
          </w:p>
        </w:tc>
        <w:tc>
          <w:tcPr>
            <w:tcW w:w="4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Units Issued</w:t>
            </w:r>
          </w:p>
        </w:tc>
        <w:tc>
          <w:tcPr>
            <w:tcW w:w="4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420" w:type="dxa"/>
            <w:vAlign w:val="bottom"/>
          </w:tcPr>
          <w:p>
            <w:pPr>
              <w:spacing w:after="0"/>
              <w:rPr>
                <w:sz w:val="19"/>
                <w:szCs w:val="19"/>
                <w:color w:val="auto"/>
              </w:rPr>
            </w:pPr>
          </w:p>
        </w:tc>
        <w:tc>
          <w:tcPr>
            <w:tcW w:w="1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76"/>
        </w:trPr>
        <w:tc>
          <w:tcPr>
            <w:tcW w:w="406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Change in Unrealized Gain (Loss) on</w:t>
            </w:r>
          </w:p>
        </w:tc>
        <w:tc>
          <w:tcPr>
            <w:tcW w:w="4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and Derivative Contracts</w:t>
            </w:r>
          </w:p>
        </w:tc>
        <w:tc>
          <w:tcPr>
            <w:tcW w:w="42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176"/>
        </w:trPr>
        <w:tc>
          <w:tcPr>
            <w:tcW w:w="406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Change in Realized Gain (Loss) on</w:t>
            </w:r>
          </w:p>
        </w:tc>
        <w:tc>
          <w:tcPr>
            <w:tcW w:w="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Units Outstanding, End of Period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11,138,134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37,915,424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5,105,229</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3"/>
                <w:szCs w:val="23"/>
                <w:color w:val="auto"/>
                <w:vertAlign w:val="superscript"/>
              </w:rPr>
              <w:t>(a)</w:t>
            </w:r>
          </w:p>
        </w:tc>
        <w:tc>
          <w:tcPr>
            <w:tcW w:w="4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175"/>
        </w:trPr>
        <w:tc>
          <w:tcPr>
            <w:tcW w:w="40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Ratios to Weighted-Average Net Assets (Non-</w:t>
            </w:r>
          </w:p>
        </w:tc>
        <w:tc>
          <w:tcPr>
            <w:tcW w:w="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Annualized)</w:t>
            </w:r>
          </w:p>
        </w:tc>
        <w:tc>
          <w:tcPr>
            <w:tcW w:w="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4"/>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is calculated as the change in Net Asset Value per Unit during the period, plus distributions per Unit (assuming dividends and distributions are reinvested in accordance with T-POP’s distribution reinvestment plan) divided by the initial Net Asset Value per Unit. Total return does not include upfront transaction fees, if 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From April 1, 2026 through May 1, 2026, the Aggregator received additional subscriptions for a total of $102.1 million.</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Aggregator’s management evaluated subsequent events through the date of issuance of these financial statements. Other than the event disclosed above, there have been no events since March 31, 2026 that require recognition or disclosure in the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financial statements and the related notes of TPG Private Equity Opportunities, L.P. and the unaudited condensed consolidated financial statements and the related notes of T-POP US Aggregator (CYM), L.P. both included within this Quarterly Report on Form 10-Q.</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In this Quarterly Report on Form 10-Q, or this "report," we refer to TPG Private Equity Opportunities, L.P. and its consolidated subsidiaries as "we," "us," the "Fund," "T-POP," or "our," unless we specifically state otherwise or the context indicates otherwise. We refer to our investment adviser, T-POP Management Company, LLC, as the “Management Company” and we refer to the direct parent company of the Management Company, TPG Solutions Advisors, LLC., as "Solutions Advisors."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2025, TPG launched the T-POP Fund Complex, TPG’s perpetual private equity solution for eligible individual investors, that provides greater access to TPG’s private equity platform. Our investment objectives are to deliver medium- to long-term capital appreciation and, to a lesser extent, generate modest current income. T-POP is structured as a perpetual-life strategy, with monthly, fully funded subscriptions and periodic redemption offers, which we believe enables investors to better manage exposure to the private equity asset class and achieve the potential benefits of compounding returns.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invest primarily in privately negotiated, equity-oriented investments (“Private Equity Investments”), leveraging the talent and investment capabilities of TPG’s private equity platform (the “PE Platform”) to create an attractive portfolio of alternative investments diversified across geographies and sectors. Our General Partner and our Management Company are affiliates of TPG.</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investment strategy includes investments in (i) Buyout transactions, which are large-scale investments, where TPG typically takes a control position in private companies, including carve-outs of business units from large corporations; (ii) Growth transactions where we acquire control or significant minority investments in growth-oriented private middle-market companies; and (iii) General Partner (GP)-led secondaries where we primarily invest in single asset continuation vehicles, alongside GPs using these investments as a means of holding what we believe to be their best assets for longer, with the GP typically rolling a substantial majority of its economics. T-POP may also pursue primary commitments to, and/or secondary market purchases of existing investments in, certain investment funds managed by TPG and third-party managers, as well as other investments that the General Partner determines are suitable for T-POP in its sole discretion. Over time, TPG expects that T-POP’s investment portfolio will include a broad pool of private equity assets that will be diversified across sector, geography, industry, market capitalization, and transaction type. T-POP will also generally seek to invest up to 20% of its net asset value in debt and other securities, including but not limited to, debt instruments, cash and money market funds, which may be used to provide a potential source of liquidity, generate current income and facilitate capital deployment (collectively, “Debt and Other Securities”, and together with Private Equity Investments, “Investments”). Proceeds generated by the realization of Investments are intended primarily to be redeployed into additional transactions, which is expected to drive significant compounding of asset value over time.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T-POP Fund Complex completed direct purchases of investments for $325.8 million. As of March 31, 2026, the T-POP Fund Complex’s portfolio consists of 46 closed Private Equity Investments. As of March 31, 2026, the T-POP Fund Complex holds $221.9 million in money market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returns by each class of Investor Units at the Registrant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Unit Class</w:t>
            </w:r>
          </w:p>
        </w:tc>
        <w:tc>
          <w:tcPr>
            <w:tcW w:w="31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Inception To Date Total Return</w:t>
            </w:r>
          </w:p>
        </w:tc>
      </w:tr>
      <w:tr>
        <w:trPr>
          <w:trHeight w:val="225"/>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R-I Units</w:t>
            </w:r>
          </w:p>
        </w:tc>
        <w:tc>
          <w:tcPr>
            <w:tcW w:w="10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25.23 %</w:t>
            </w:r>
          </w:p>
        </w:tc>
      </w:tr>
      <w:tr>
        <w:trPr>
          <w:trHeight w:val="22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R-S Units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24.32 %</w:t>
            </w:r>
          </w:p>
        </w:tc>
      </w:tr>
      <w:tr>
        <w:trPr>
          <w:trHeight w:val="23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 Units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Inception to date return is from June 2, 2025 for Class R-I and Class R-S. The inception to date return for Class R-D is from July 01, 2025.</w:t>
      </w:r>
    </w:p>
    <w:p>
      <w:pPr>
        <w:spacing w:after="0" w:line="59" w:lineRule="exact"/>
        <w:rPr>
          <w:rFonts w:ascii="Times New Roman" w:cs="Times New Roman" w:eastAsia="Times New Roman" w:hAnsi="Times New Roman"/>
          <w:sz w:val="16"/>
          <w:szCs w:val="16"/>
          <w:color w:val="auto"/>
        </w:rPr>
      </w:pPr>
    </w:p>
    <w:p>
      <w:pPr>
        <w:jc w:val="both"/>
        <w:ind w:left="500" w:right="100" w:hanging="492"/>
        <w:spacing w:after="0" w:line="272" w:lineRule="auto"/>
        <w:tabs>
          <w:tab w:leader="none" w:pos="48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Returns shown reflect the percent change in the Transactional NAV per unit from the beginning of the applicable period, plus the amount of any distribution per unit declared in the period. Returns shown are reflective of each unit class and not of an individual investor. The Fund believes total return is a useful measure of overall investment performance of our Units.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 Composition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charts below present the diversification of the T-POP Fund Complex’s portfolio companies by strategy, sector and geography based on the fair value of our Private Equity Investments as of March 31, 2026. The T-POP Fund Complex’s investments into funds managed by TPG are presented on a look-through basis with respect to underlying portfolio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123190</wp:posOffset>
            </wp:positionV>
            <wp:extent cx="5589270" cy="56832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9270" cy="568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of fair value represents T-POP Fund Complex’s sum of Investments at Fair Value and Affiliated Investee Funds.</w:t>
      </w:r>
    </w:p>
    <w:p>
      <w:pPr>
        <w:spacing w:after="0" w:line="72"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Geography is generally based on the region where each investment is headquartered.</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T-POP Fund Complex’s top 10 Private Equity Investments, based on fair value, were: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Strategy</w:t>
            </w: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Geography</w:t>
            </w: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Sector</w:t>
            </w:r>
          </w:p>
        </w:tc>
      </w:tr>
      <w:tr>
        <w:trPr>
          <w:trHeight w:val="226"/>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Creative Planning</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 America</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w:t>
            </w:r>
          </w:p>
        </w:tc>
      </w:tr>
      <w:tr>
        <w:trPr>
          <w:trHeight w:val="22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Surescripts</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r>
      <w:tr>
        <w:trPr>
          <w:trHeight w:val="23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AvidXchange Holdings Inc</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r>
      <w:tr>
        <w:trPr>
          <w:trHeight w:val="22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DirecTV</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r>
      <w:tr>
        <w:trPr>
          <w:trHeight w:val="23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Pike</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Transition</w:t>
            </w:r>
          </w:p>
        </w:tc>
      </w:tr>
      <w:tr>
        <w:trPr>
          <w:trHeight w:val="22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Conservice</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Services</w:t>
            </w:r>
          </w:p>
        </w:tc>
      </w:tr>
      <w:tr>
        <w:trPr>
          <w:trHeight w:val="22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Novotech</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&amp; Australia</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r>
      <w:tr>
        <w:trPr>
          <w:trHeight w:val="23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Aven Hospitality</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r>
      <w:tr>
        <w:trPr>
          <w:trHeight w:val="22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Velotic</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r>
      <w:tr>
        <w:trPr>
          <w:trHeight w:val="23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Irth Solutions</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Buyout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America</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r>
      <w:tr>
        <w:trPr>
          <w:trHeight w:val="36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40"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unaffiliated and affiliated investee funds are presented on a look-through basis with respect to the underlying portfolio company.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0" w:lineRule="exact"/>
        <w:rPr>
          <w:rFonts w:ascii="Times New Roman" w:cs="Times New Roman" w:eastAsia="Times New Roman" w:hAnsi="Times New Roman"/>
          <w:sz w:val="16"/>
          <w:szCs w:val="16"/>
          <w:color w:val="auto"/>
        </w:rPr>
      </w:pPr>
    </w:p>
    <w:p>
      <w:pPr>
        <w:ind w:left="5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Schedule of Investments</w:t>
      </w:r>
    </w:p>
    <w:p>
      <w:pPr>
        <w:spacing w:after="0" w:line="229"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T-POP invests all or substantially all of its assets in the Aggregator. The Aggregator, then in turn, invests all or substantially all of its assets in the T-POP Investment Holdings Entities which hold (directly or indirectly) investments in private equity strategies. The following Schedule of Investments presents the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POP Fund Complex’s holdings on a look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basis as of March 31, 2026. Investments held by the T-POP Investment Holdings Entities are shown based on the T-POP Fund Complex’s proportional ownership to provide a comprehensive view of the underlying investment exposure by sector and geography based on the fair value of the underlying investments as of March 31, 2026 ($ in thousands).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T-POP Investment Holdings Entity</w:t>
            </w:r>
          </w:p>
        </w:tc>
        <w:tc>
          <w:tcPr>
            <w:tcW w:w="0" w:type="dxa"/>
            <w:vAlign w:val="bottom"/>
          </w:tcPr>
          <w:p>
            <w:pPr>
              <w:spacing w:after="0"/>
              <w:rPr>
                <w:sz w:val="1"/>
                <w:szCs w:val="1"/>
                <w:color w:val="auto"/>
              </w:rPr>
            </w:pPr>
          </w:p>
        </w:tc>
      </w:tr>
      <w:tr>
        <w:trPr>
          <w:trHeight w:val="217"/>
        </w:trPr>
        <w:tc>
          <w:tcPr>
            <w:tcW w:w="2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8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Commercial and Professional</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VI,</w:t>
            </w:r>
          </w:p>
        </w:tc>
        <w:tc>
          <w:tcPr>
            <w:tcW w:w="0" w:type="dxa"/>
            <w:vAlign w:val="bottom"/>
          </w:tcPr>
          <w:p>
            <w:pPr>
              <w:spacing w:after="0"/>
              <w:rPr>
                <w:sz w:val="1"/>
                <w:szCs w:val="1"/>
                <w:color w:val="auto"/>
              </w:rPr>
            </w:pPr>
          </w:p>
        </w:tc>
      </w:tr>
      <w:tr>
        <w:trPr>
          <w:trHeight w:val="234"/>
        </w:trPr>
        <w:tc>
          <w:tcPr>
            <w:tcW w:w="2480" w:type="dxa"/>
            <w:vAlign w:val="bottom"/>
            <w:gridSpan w:val="2"/>
          </w:tcPr>
          <w:p>
            <w:pPr>
              <w:ind w:left="140"/>
              <w:spacing w:after="0" w:line="234"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184"/>
        </w:trPr>
        <w:tc>
          <w:tcPr>
            <w:tcW w:w="248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Total Commercial and</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Professional Services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Services</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w:t>
            </w:r>
          </w:p>
        </w:tc>
        <w:tc>
          <w:tcPr>
            <w:tcW w:w="0" w:type="dxa"/>
            <w:vAlign w:val="bottom"/>
          </w:tcPr>
          <w:p>
            <w:pPr>
              <w:spacing w:after="0"/>
              <w:rPr>
                <w:sz w:val="1"/>
                <w:szCs w:val="1"/>
                <w:color w:val="auto"/>
              </w:rPr>
            </w:pPr>
          </w:p>
        </w:tc>
      </w:tr>
      <w:tr>
        <w:trPr>
          <w:trHeight w:val="238"/>
        </w:trPr>
        <w:tc>
          <w:tcPr>
            <w:tcW w:w="248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180"/>
        </w:trPr>
        <w:tc>
          <w:tcPr>
            <w:tcW w:w="24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II,</w:t>
            </w:r>
          </w:p>
        </w:tc>
        <w:tc>
          <w:tcPr>
            <w:tcW w:w="0" w:type="dxa"/>
            <w:vAlign w:val="bottom"/>
          </w:tcPr>
          <w:p>
            <w:pPr>
              <w:spacing w:after="0"/>
              <w:rPr>
                <w:sz w:val="1"/>
                <w:szCs w:val="1"/>
                <w:color w:val="auto"/>
              </w:rPr>
            </w:pPr>
          </w:p>
        </w:tc>
      </w:tr>
      <w:tr>
        <w:trPr>
          <w:trHeight w:val="252"/>
        </w:trPr>
        <w:tc>
          <w:tcPr>
            <w:tcW w:w="2480" w:type="dxa"/>
            <w:vAlign w:val="bottom"/>
            <w:gridSpan w:val="2"/>
          </w:tcPr>
          <w:p>
            <w:pPr>
              <w:ind w:left="140"/>
              <w:spacing w:after="0" w:line="252"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234"/>
        </w:trPr>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Consumer Services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Transition</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II,</w:t>
            </w:r>
          </w:p>
        </w:tc>
        <w:tc>
          <w:tcPr>
            <w:tcW w:w="0" w:type="dxa"/>
            <w:vAlign w:val="bottom"/>
          </w:tcPr>
          <w:p>
            <w:pPr>
              <w:spacing w:after="0"/>
              <w:rPr>
                <w:sz w:val="1"/>
                <w:szCs w:val="1"/>
                <w:color w:val="auto"/>
              </w:rPr>
            </w:pPr>
          </w:p>
        </w:tc>
      </w:tr>
      <w:tr>
        <w:trPr>
          <w:trHeight w:val="238"/>
        </w:trPr>
        <w:tc>
          <w:tcPr>
            <w:tcW w:w="248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180"/>
        </w:trPr>
        <w:tc>
          <w:tcPr>
            <w:tcW w:w="24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II,</w:t>
            </w:r>
          </w:p>
        </w:tc>
        <w:tc>
          <w:tcPr>
            <w:tcW w:w="0" w:type="dxa"/>
            <w:vAlign w:val="bottom"/>
          </w:tcPr>
          <w:p>
            <w:pPr>
              <w:spacing w:after="0"/>
              <w:rPr>
                <w:sz w:val="1"/>
                <w:szCs w:val="1"/>
                <w:color w:val="auto"/>
              </w:rPr>
            </w:pPr>
          </w:p>
        </w:tc>
      </w:tr>
      <w:tr>
        <w:trPr>
          <w:trHeight w:val="248"/>
        </w:trPr>
        <w:tc>
          <w:tcPr>
            <w:tcW w:w="248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Transition</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T-POP Investment Holdings I,</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Creative Planning</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180"/>
        </w:trPr>
        <w:tc>
          <w:tcPr>
            <w:tcW w:w="24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 Portfolio</w:t>
            </w:r>
          </w:p>
        </w:tc>
        <w:tc>
          <w:tcPr>
            <w:tcW w:w="2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IV,</w:t>
            </w:r>
          </w:p>
        </w:tc>
        <w:tc>
          <w:tcPr>
            <w:tcW w:w="0" w:type="dxa"/>
            <w:vAlign w:val="bottom"/>
          </w:tcPr>
          <w:p>
            <w:pPr>
              <w:spacing w:after="0"/>
              <w:rPr>
                <w:sz w:val="1"/>
                <w:szCs w:val="1"/>
                <w:color w:val="auto"/>
              </w:rPr>
            </w:pPr>
          </w:p>
        </w:tc>
      </w:tr>
      <w:tr>
        <w:trPr>
          <w:trHeight w:val="248"/>
        </w:trPr>
        <w:tc>
          <w:tcPr>
            <w:tcW w:w="248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3"/>
                <w:szCs w:val="23"/>
                <w:color w:val="auto"/>
                <w:vertAlign w:val="superscript"/>
              </w:rPr>
              <w:t>(b)</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Services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216"/>
        </w:trPr>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80" w:type="dxa"/>
            <w:vAlign w:val="bottom"/>
            <w:vMerge w:val="restart"/>
          </w:tcPr>
          <w:p>
            <w:pPr>
              <w:spacing w:after="0"/>
              <w:rPr>
                <w:sz w:val="18"/>
                <w:szCs w:val="18"/>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Geography</w:t>
            </w:r>
            <w:r>
              <w:rPr>
                <w:rFonts w:ascii="Times New Roman" w:cs="Times New Roman" w:eastAsia="Times New Roman" w:hAnsi="Times New Roman"/>
                <w:sz w:val="21"/>
                <w:szCs w:val="21"/>
                <w:b w:val="1"/>
                <w:bCs w:val="1"/>
                <w:color w:val="auto"/>
                <w:vertAlign w:val="superscript"/>
              </w:rPr>
              <w:t>(a)</w:t>
            </w:r>
          </w:p>
        </w:tc>
        <w:tc>
          <w:tcPr>
            <w:tcW w:w="80" w:type="dxa"/>
            <w:vAlign w:val="bottom"/>
            <w:vMerge w:val="restart"/>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Fair Value ($)</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Level</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Assets (%)</w:t>
            </w:r>
            <w:r>
              <w:rPr>
                <w:rFonts w:ascii="Times New Roman" w:cs="Times New Roman" w:eastAsia="Times New Roman" w:hAnsi="Times New Roman"/>
                <w:sz w:val="18"/>
                <w:szCs w:val="18"/>
                <w:b w:val="1"/>
                <w:bCs w:val="1"/>
                <w:color w:val="auto"/>
                <w:vertAlign w:val="superscript"/>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-8255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411480</wp:posOffset>
            </wp:positionV>
            <wp:extent cx="713232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Business Services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399"/>
        </w:trPr>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80" w:type="dxa"/>
            <w:vAlign w:val="bottom"/>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904"/>
        </w:trPr>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Consumer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418"/>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8"/>
        </w:trPr>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43,981</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913"/>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418"/>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8"/>
        </w:trPr>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28,781</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913"/>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Business Services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122,337</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418"/>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Business Services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III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50,827</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8"/>
        </w:trPr>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173,164</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-3002915</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-2694305</wp:posOffset>
            </wp:positionV>
            <wp:extent cx="713232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-2162810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-1837055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-1425575</wp:posOffset>
            </wp:positionV>
            <wp:extent cx="7132320"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-1005205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-688340</wp:posOffset>
            </wp:positionV>
            <wp:extent cx="7132320"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-156845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100"/>
            <w:col w:w="6160"/>
          </w:cols>
          <w:pgMar w:left="320" w:top="4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T-POP Investment Holdings Entity</w:t>
            </w:r>
          </w:p>
        </w:tc>
      </w:tr>
      <w:tr>
        <w:trPr>
          <w:trHeight w:val="172"/>
        </w:trPr>
        <w:tc>
          <w:tcPr>
            <w:tcW w:w="242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Health Care Equipment &amp;</w:t>
            </w:r>
          </w:p>
        </w:tc>
        <w:tc>
          <w:tcPr>
            <w:tcW w:w="8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500" w:type="dxa"/>
            <w:vAlign w:val="bottom"/>
          </w:tcPr>
          <w:p>
            <w:pPr>
              <w:spacing w:after="0"/>
              <w:rPr>
                <w:sz w:val="20"/>
                <w:szCs w:val="20"/>
                <w:color w:val="auto"/>
              </w:rPr>
            </w:pP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III,</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T-POP Investment Holdings IV,</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T-POP Investment Holdings IV,</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T-POP Investment Holdings IV,</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T-POP Investment Holdings V,</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VI,</w:t>
            </w:r>
          </w:p>
        </w:tc>
      </w:tr>
      <w:tr>
        <w:trPr>
          <w:trHeight w:val="234"/>
        </w:trPr>
        <w:tc>
          <w:tcPr>
            <w:tcW w:w="2500" w:type="dxa"/>
            <w:vAlign w:val="bottom"/>
            <w:gridSpan w:val="2"/>
          </w:tcPr>
          <w:p>
            <w:pPr>
              <w:ind w:left="140"/>
              <w:spacing w:after="0" w:line="234"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4"/>
        </w:trPr>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Total Health Care Equipment</w:t>
            </w:r>
          </w:p>
        </w:tc>
        <w:tc>
          <w:tcPr>
            <w:tcW w:w="2500" w:type="dxa"/>
            <w:vAlign w:val="bottom"/>
          </w:tcPr>
          <w:p>
            <w:pPr>
              <w:spacing w:after="0"/>
              <w:rPr>
                <w:sz w:val="16"/>
                <w:szCs w:val="16"/>
                <w:color w:val="auto"/>
              </w:rPr>
            </w:pPr>
          </w:p>
        </w:tc>
      </w:tr>
      <w:tr>
        <w:trPr>
          <w:trHeight w:val="238"/>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&amp; Services</w:t>
            </w:r>
          </w:p>
        </w:tc>
        <w:tc>
          <w:tcPr>
            <w:tcW w:w="2500" w:type="dxa"/>
            <w:vAlign w:val="bottom"/>
          </w:tcPr>
          <w:p>
            <w:pPr>
              <w:spacing w:after="0"/>
              <w:rPr>
                <w:sz w:val="20"/>
                <w:szCs w:val="20"/>
                <w:color w:val="auto"/>
              </w:rPr>
            </w:pPr>
          </w:p>
        </w:tc>
      </w:tr>
      <w:tr>
        <w:trPr>
          <w:trHeight w:val="49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Media &amp; Entertainment</w:t>
            </w:r>
          </w:p>
        </w:tc>
        <w:tc>
          <w:tcPr>
            <w:tcW w:w="2500" w:type="dxa"/>
            <w:vAlign w:val="bottom"/>
          </w:tcPr>
          <w:p>
            <w:pPr>
              <w:spacing w:after="0"/>
              <w:rPr>
                <w:sz w:val="24"/>
                <w:szCs w:val="24"/>
                <w:color w:val="auto"/>
              </w:rPr>
            </w:pP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w:t>
            </w:r>
          </w:p>
        </w:tc>
      </w:tr>
      <w:tr>
        <w:trPr>
          <w:trHeight w:val="248"/>
        </w:trPr>
        <w:tc>
          <w:tcPr>
            <w:tcW w:w="250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21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Media &amp; Entertainment</w:t>
            </w:r>
          </w:p>
        </w:tc>
        <w:tc>
          <w:tcPr>
            <w:tcW w:w="2500" w:type="dxa"/>
            <w:vAlign w:val="bottom"/>
          </w:tcPr>
          <w:p>
            <w:pPr>
              <w:spacing w:after="0"/>
              <w:rPr>
                <w:sz w:val="18"/>
                <w:szCs w:val="18"/>
                <w:color w:val="auto"/>
              </w:rPr>
            </w:pPr>
          </w:p>
        </w:tc>
      </w:tr>
      <w:tr>
        <w:trPr>
          <w:trHeight w:val="262"/>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spacing w:after="0"/>
              <w:rPr>
                <w:sz w:val="22"/>
                <w:szCs w:val="22"/>
                <w:color w:val="auto"/>
              </w:rPr>
            </w:pPr>
          </w:p>
        </w:tc>
      </w:tr>
      <w:tr>
        <w:trPr>
          <w:trHeight w:val="184"/>
        </w:trPr>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Pharmaceuticals,</w:t>
            </w:r>
          </w:p>
        </w:tc>
        <w:tc>
          <w:tcPr>
            <w:tcW w:w="2500" w:type="dxa"/>
            <w:vAlign w:val="bottom"/>
          </w:tcPr>
          <w:p>
            <w:pPr>
              <w:spacing w:after="0"/>
              <w:rPr>
                <w:sz w:val="16"/>
                <w:szCs w:val="16"/>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Biotechnology &amp; Life Sciences</w:t>
            </w:r>
          </w:p>
        </w:tc>
        <w:tc>
          <w:tcPr>
            <w:tcW w:w="2500" w:type="dxa"/>
            <w:vAlign w:val="bottom"/>
          </w:tcPr>
          <w:p>
            <w:pPr>
              <w:spacing w:after="0"/>
              <w:rPr>
                <w:sz w:val="20"/>
                <w:szCs w:val="20"/>
                <w:color w:val="auto"/>
              </w:rPr>
            </w:pP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III,</w:t>
            </w:r>
          </w:p>
        </w:tc>
      </w:tr>
      <w:tr>
        <w:trPr>
          <w:trHeight w:val="238"/>
        </w:trPr>
        <w:tc>
          <w:tcPr>
            <w:tcW w:w="250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w:t>
            </w:r>
          </w:p>
        </w:tc>
      </w:tr>
      <w:tr>
        <w:trPr>
          <w:trHeight w:val="234"/>
        </w:trPr>
        <w:tc>
          <w:tcPr>
            <w:tcW w:w="2500" w:type="dxa"/>
            <w:vAlign w:val="bottom"/>
            <w:gridSpan w:val="2"/>
          </w:tcPr>
          <w:p>
            <w:pPr>
              <w:ind w:left="140"/>
              <w:spacing w:after="0" w:line="234"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4"/>
        </w:trPr>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Total Pharmaceuticals,</w:t>
            </w:r>
          </w:p>
        </w:tc>
        <w:tc>
          <w:tcPr>
            <w:tcW w:w="2500" w:type="dxa"/>
            <w:vAlign w:val="bottom"/>
          </w:tcPr>
          <w:p>
            <w:pPr>
              <w:spacing w:after="0"/>
              <w:rPr>
                <w:sz w:val="16"/>
                <w:szCs w:val="16"/>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Biotechnology &amp; Life Sciences</w:t>
            </w:r>
          </w:p>
        </w:tc>
        <w:tc>
          <w:tcPr>
            <w:tcW w:w="2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 as</w:t>
            </w:r>
          </w:p>
        </w:tc>
        <w:tc>
          <w:tcPr>
            <w:tcW w:w="0" w:type="dxa"/>
            <w:vAlign w:val="bottom"/>
          </w:tcPr>
          <w:p>
            <w:pPr>
              <w:spacing w:after="0"/>
              <w:rPr>
                <w:sz w:val="1"/>
                <w:szCs w:val="1"/>
                <w:color w:val="auto"/>
              </w:rPr>
            </w:pPr>
          </w:p>
        </w:tc>
      </w:tr>
      <w:tr>
        <w:trPr>
          <w:trHeight w:val="216"/>
        </w:trPr>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80" w:type="dxa"/>
            <w:vAlign w:val="bottom"/>
            <w:vMerge w:val="restart"/>
          </w:tcPr>
          <w:p>
            <w:pPr>
              <w:spacing w:after="0"/>
              <w:rPr>
                <w:sz w:val="18"/>
                <w:szCs w:val="18"/>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Geography</w:t>
            </w:r>
            <w:r>
              <w:rPr>
                <w:rFonts w:ascii="Times New Roman" w:cs="Times New Roman" w:eastAsia="Times New Roman" w:hAnsi="Times New Roman"/>
                <w:sz w:val="21"/>
                <w:szCs w:val="21"/>
                <w:b w:val="1"/>
                <w:bCs w:val="1"/>
                <w:color w:val="auto"/>
                <w:vertAlign w:val="superscript"/>
              </w:rPr>
              <w:t>(a)</w:t>
            </w:r>
          </w:p>
        </w:tc>
        <w:tc>
          <w:tcPr>
            <w:tcW w:w="80" w:type="dxa"/>
            <w:vAlign w:val="bottom"/>
            <w:vMerge w:val="restart"/>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Fair Value ($)</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162"/>
        </w:trPr>
        <w:tc>
          <w:tcPr>
            <w:tcW w:w="14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Level</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1"/>
              </w:rPr>
              <w:t>(c)</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Assets (%) </w:t>
            </w:r>
            <w:r>
              <w:rPr>
                <w:rFonts w:ascii="Times New Roman" w:cs="Times New Roman" w:eastAsia="Times New Roman" w:hAnsi="Times New Roman"/>
                <w:sz w:val="18"/>
                <w:szCs w:val="18"/>
                <w:b w:val="1"/>
                <w:bCs w:val="1"/>
                <w:color w:val="auto"/>
                <w:vertAlign w:val="superscript"/>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-7620</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N. America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58,784</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419"/>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6"/>
                <w:szCs w:val="16"/>
                <w:color w:val="auto"/>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6"/>
                <w:szCs w:val="16"/>
                <w:color w:val="auto"/>
                <w:w w:val="99"/>
              </w:rPr>
              <w:t>N. America</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4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Asia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4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N. America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4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Asia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4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Europe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39,686</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4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N. America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4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N. America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399"/>
        </w:trPr>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252,134</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9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Technology</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N. America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8"/>
        </w:trPr>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1075"/>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Asia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418"/>
        </w:trPr>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Healthcare</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Europe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III</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399"/>
        </w:trPr>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72,483</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895"/>
        </w:trPr>
        <w:tc>
          <w:tcPr>
            <w:tcW w:w="112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47</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-4647565</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-4116070</wp:posOffset>
            </wp:positionV>
            <wp:extent cx="7132320" cy="265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-3584575</wp:posOffset>
            </wp:positionV>
            <wp:extent cx="7132320" cy="265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-3053715</wp:posOffset>
            </wp:positionV>
            <wp:extent cx="7132320"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-2521585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-2204720</wp:posOffset>
            </wp:positionV>
            <wp:extent cx="7132320"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-1784985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-1364615</wp:posOffset>
            </wp:positionV>
            <wp:extent cx="7132320" cy="265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-833120</wp:posOffset>
            </wp:positionV>
            <wp:extent cx="7132320" cy="266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ectPr>
          <w:pgSz w:w="11900" w:h="16838" w:orient="portrait"/>
          <w:cols w:equalWidth="0" w:num="2">
            <w:col w:w="5000" w:space="80"/>
            <w:col w:w="6160"/>
          </w:cols>
          <w:pgMar w:left="320" w:top="44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80" w:type="dxa"/>
            <w:vAlign w:val="bottom"/>
          </w:tcPr>
          <w:p>
            <w:pPr>
              <w:spacing w:after="0"/>
              <w:rPr>
                <w:sz w:val="18"/>
                <w:szCs w:val="18"/>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T-POP Investment Holdings Entity</w:t>
            </w:r>
          </w:p>
        </w:tc>
        <w:tc>
          <w:tcPr>
            <w:tcW w:w="0" w:type="dxa"/>
            <w:vAlign w:val="bottom"/>
          </w:tcPr>
          <w:p>
            <w:pPr>
              <w:spacing w:after="0"/>
              <w:rPr>
                <w:sz w:val="1"/>
                <w:szCs w:val="1"/>
                <w:color w:val="auto"/>
              </w:rPr>
            </w:pPr>
          </w:p>
        </w:tc>
      </w:tr>
      <w:tr>
        <w:trPr>
          <w:trHeight w:val="221"/>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Software &amp; Services</w:t>
            </w:r>
          </w:p>
        </w:tc>
        <w:tc>
          <w:tcPr>
            <w:tcW w:w="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w:t>
            </w:r>
          </w:p>
        </w:tc>
        <w:tc>
          <w:tcPr>
            <w:tcW w:w="0" w:type="dxa"/>
            <w:vAlign w:val="bottom"/>
          </w:tcPr>
          <w:p>
            <w:pPr>
              <w:spacing w:after="0"/>
              <w:rPr>
                <w:sz w:val="1"/>
                <w:szCs w:val="1"/>
                <w:color w:val="auto"/>
              </w:rPr>
            </w:pPr>
          </w:p>
        </w:tc>
      </w:tr>
      <w:tr>
        <w:trPr>
          <w:trHeight w:val="238"/>
        </w:trPr>
        <w:tc>
          <w:tcPr>
            <w:tcW w:w="2400" w:type="dxa"/>
            <w:vAlign w:val="bottom"/>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w:t>
            </w:r>
          </w:p>
        </w:tc>
        <w:tc>
          <w:tcPr>
            <w:tcW w:w="0" w:type="dxa"/>
            <w:vAlign w:val="bottom"/>
          </w:tcPr>
          <w:p>
            <w:pPr>
              <w:spacing w:after="0"/>
              <w:rPr>
                <w:sz w:val="1"/>
                <w:szCs w:val="1"/>
                <w:color w:val="auto"/>
              </w:rPr>
            </w:pPr>
          </w:p>
        </w:tc>
      </w:tr>
      <w:tr>
        <w:trPr>
          <w:trHeight w:val="238"/>
        </w:trPr>
        <w:tc>
          <w:tcPr>
            <w:tcW w:w="2400" w:type="dxa"/>
            <w:vAlign w:val="bottom"/>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w:t>
            </w:r>
          </w:p>
        </w:tc>
        <w:tc>
          <w:tcPr>
            <w:tcW w:w="0" w:type="dxa"/>
            <w:vAlign w:val="bottom"/>
          </w:tcPr>
          <w:p>
            <w:pPr>
              <w:spacing w:after="0"/>
              <w:rPr>
                <w:sz w:val="1"/>
                <w:szCs w:val="1"/>
                <w:color w:val="auto"/>
              </w:rPr>
            </w:pPr>
          </w:p>
        </w:tc>
      </w:tr>
      <w:tr>
        <w:trPr>
          <w:trHeight w:val="238"/>
        </w:trPr>
        <w:tc>
          <w:tcPr>
            <w:tcW w:w="2400" w:type="dxa"/>
            <w:vAlign w:val="bottom"/>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III,</w:t>
            </w:r>
          </w:p>
        </w:tc>
        <w:tc>
          <w:tcPr>
            <w:tcW w:w="0" w:type="dxa"/>
            <w:vAlign w:val="bottom"/>
          </w:tcPr>
          <w:p>
            <w:pPr>
              <w:spacing w:after="0"/>
              <w:rPr>
                <w:sz w:val="1"/>
                <w:szCs w:val="1"/>
                <w:color w:val="auto"/>
              </w:rPr>
            </w:pPr>
          </w:p>
        </w:tc>
      </w:tr>
      <w:tr>
        <w:trPr>
          <w:trHeight w:val="238"/>
        </w:trPr>
        <w:tc>
          <w:tcPr>
            <w:tcW w:w="2400" w:type="dxa"/>
            <w:vAlign w:val="bottom"/>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III,</w:t>
            </w:r>
          </w:p>
        </w:tc>
        <w:tc>
          <w:tcPr>
            <w:tcW w:w="0" w:type="dxa"/>
            <w:vAlign w:val="bottom"/>
          </w:tcPr>
          <w:p>
            <w:pPr>
              <w:spacing w:after="0"/>
              <w:rPr>
                <w:sz w:val="1"/>
                <w:szCs w:val="1"/>
                <w:color w:val="auto"/>
              </w:rPr>
            </w:pPr>
          </w:p>
        </w:tc>
      </w:tr>
      <w:tr>
        <w:trPr>
          <w:trHeight w:val="238"/>
        </w:trPr>
        <w:tc>
          <w:tcPr>
            <w:tcW w:w="2400" w:type="dxa"/>
            <w:vAlign w:val="bottom"/>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T-POP Investment Holdings IV,</w:t>
            </w:r>
          </w:p>
        </w:tc>
        <w:tc>
          <w:tcPr>
            <w:tcW w:w="0" w:type="dxa"/>
            <w:vAlign w:val="bottom"/>
          </w:tcPr>
          <w:p>
            <w:pPr>
              <w:spacing w:after="0"/>
              <w:rPr>
                <w:sz w:val="1"/>
                <w:szCs w:val="1"/>
                <w:color w:val="auto"/>
              </w:rPr>
            </w:pPr>
          </w:p>
        </w:tc>
      </w:tr>
      <w:tr>
        <w:trPr>
          <w:trHeight w:val="238"/>
        </w:trPr>
        <w:tc>
          <w:tcPr>
            <w:tcW w:w="2400" w:type="dxa"/>
            <w:vAlign w:val="bottom"/>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T-POP Investment Holdings V,</w:t>
            </w:r>
          </w:p>
        </w:tc>
        <w:tc>
          <w:tcPr>
            <w:tcW w:w="0" w:type="dxa"/>
            <w:vAlign w:val="bottom"/>
          </w:tcPr>
          <w:p>
            <w:pPr>
              <w:spacing w:after="0"/>
              <w:rPr>
                <w:sz w:val="1"/>
                <w:szCs w:val="1"/>
                <w:color w:val="auto"/>
              </w:rPr>
            </w:pPr>
          </w:p>
        </w:tc>
      </w:tr>
      <w:tr>
        <w:trPr>
          <w:trHeight w:val="248"/>
        </w:trPr>
        <w:tc>
          <w:tcPr>
            <w:tcW w:w="2400" w:type="dxa"/>
            <w:vAlign w:val="bottom"/>
          </w:tcPr>
          <w:p>
            <w:pPr>
              <w:ind w:left="140"/>
              <w:spacing w:after="0" w:line="247"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23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Software &amp; Services</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Hardware and</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w:t>
            </w:r>
          </w:p>
        </w:tc>
        <w:tc>
          <w:tcPr>
            <w:tcW w:w="0" w:type="dxa"/>
            <w:vAlign w:val="bottom"/>
          </w:tcPr>
          <w:p>
            <w:pPr>
              <w:spacing w:after="0"/>
              <w:rPr>
                <w:sz w:val="1"/>
                <w:szCs w:val="1"/>
                <w:color w:val="auto"/>
              </w:rPr>
            </w:pPr>
          </w:p>
        </w:tc>
      </w:tr>
      <w:tr>
        <w:trPr>
          <w:trHeight w:val="243"/>
        </w:trPr>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Technology Hardware</w:t>
            </w: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and Equipment</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Utilities</w:t>
            </w:r>
          </w:p>
        </w:tc>
        <w:tc>
          <w:tcPr>
            <w:tcW w:w="80" w:type="dxa"/>
            <w:vAlign w:val="bottom"/>
          </w:tcPr>
          <w:p>
            <w:pPr>
              <w:spacing w:after="0"/>
              <w:rPr>
                <w:sz w:val="20"/>
                <w:szCs w:val="20"/>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T-POP Investment Holdings II,</w:t>
            </w:r>
          </w:p>
        </w:tc>
        <w:tc>
          <w:tcPr>
            <w:tcW w:w="0" w:type="dxa"/>
            <w:vAlign w:val="bottom"/>
          </w:tcPr>
          <w:p>
            <w:pPr>
              <w:spacing w:after="0"/>
              <w:rPr>
                <w:sz w:val="1"/>
                <w:szCs w:val="1"/>
                <w:color w:val="auto"/>
              </w:rPr>
            </w:pPr>
          </w:p>
        </w:tc>
      </w:tr>
      <w:tr>
        <w:trPr>
          <w:trHeight w:val="175"/>
        </w:trPr>
        <w:tc>
          <w:tcPr>
            <w:tcW w:w="2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8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140"/>
              <w:spacing w:after="0" w:line="239"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180"/>
        </w:trPr>
        <w:tc>
          <w:tcPr>
            <w:tcW w:w="24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Portfolio</w:t>
            </w:r>
          </w:p>
        </w:tc>
        <w:tc>
          <w:tcPr>
            <w:tcW w:w="80" w:type="dxa"/>
            <w:vAlign w:val="bottom"/>
          </w:tcPr>
          <w:p>
            <w:pPr>
              <w:spacing w:after="0"/>
              <w:rPr>
                <w:sz w:val="15"/>
                <w:szCs w:val="15"/>
                <w:color w:val="auto"/>
              </w:rPr>
            </w:pPr>
          </w:p>
        </w:tc>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II,</w:t>
            </w:r>
          </w:p>
        </w:tc>
        <w:tc>
          <w:tcPr>
            <w:tcW w:w="0" w:type="dxa"/>
            <w:vAlign w:val="bottom"/>
          </w:tcPr>
          <w:p>
            <w:pPr>
              <w:spacing w:after="0"/>
              <w:rPr>
                <w:sz w:val="1"/>
                <w:szCs w:val="1"/>
                <w:color w:val="auto"/>
              </w:rPr>
            </w:pPr>
          </w:p>
        </w:tc>
      </w:tr>
      <w:tr>
        <w:trPr>
          <w:trHeight w:val="248"/>
        </w:trPr>
        <w:tc>
          <w:tcPr>
            <w:tcW w:w="2400" w:type="dxa"/>
            <w:vAlign w:val="bottom"/>
          </w:tcPr>
          <w:p>
            <w:pPr>
              <w:ind w:left="140"/>
              <w:spacing w:after="0" w:line="247"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(b)</w:t>
            </w:r>
          </w:p>
        </w:tc>
        <w:tc>
          <w:tcPr>
            <w:tcW w:w="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0" w:type="dxa"/>
            <w:vAlign w:val="bottom"/>
          </w:tcPr>
          <w:p>
            <w:pPr>
              <w:spacing w:after="0"/>
              <w:rPr>
                <w:sz w:val="1"/>
                <w:szCs w:val="1"/>
                <w:color w:val="auto"/>
              </w:rPr>
            </w:pPr>
          </w:p>
        </w:tc>
      </w:tr>
      <w:tr>
        <w:trPr>
          <w:trHeight w:val="23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Utilities</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Portfolio Companies</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(Cost $809,290 North</w:t>
            </w: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America, $128,090 Europe,</w:t>
            </w: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$110,471 Asia)</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216"/>
        </w:trPr>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80" w:type="dxa"/>
            <w:vAlign w:val="bottom"/>
            <w:vMerge w:val="restart"/>
          </w:tcPr>
          <w:p>
            <w:pPr>
              <w:spacing w:after="0"/>
              <w:rPr>
                <w:sz w:val="18"/>
                <w:szCs w:val="18"/>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Geography</w:t>
            </w:r>
            <w:r>
              <w:rPr>
                <w:rFonts w:ascii="Times New Roman" w:cs="Times New Roman" w:eastAsia="Times New Roman" w:hAnsi="Times New Roman"/>
                <w:sz w:val="21"/>
                <w:szCs w:val="21"/>
                <w:b w:val="1"/>
                <w:bCs w:val="1"/>
                <w:color w:val="auto"/>
                <w:vertAlign w:val="superscript"/>
              </w:rPr>
              <w:t>(a)</w:t>
            </w:r>
          </w:p>
        </w:tc>
        <w:tc>
          <w:tcPr>
            <w:tcW w:w="100" w:type="dxa"/>
            <w:vAlign w:val="bottom"/>
            <w:vMerge w:val="restart"/>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Fair Value ($)</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162"/>
        </w:trPr>
        <w:tc>
          <w:tcPr>
            <w:tcW w:w="14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Level</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Assets (%) </w:t>
            </w:r>
            <w:r>
              <w:rPr>
                <w:rFonts w:ascii="Times New Roman" w:cs="Times New Roman" w:eastAsia="Times New Roman" w:hAnsi="Times New Roman"/>
                <w:sz w:val="18"/>
                <w:szCs w:val="18"/>
                <w:b w:val="1"/>
                <w:bCs w:val="1"/>
                <w:color w:val="auto"/>
                <w:vertAlign w:val="superscript"/>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-7620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 America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105,221</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Europe</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 America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 America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Asia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 America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85,003</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 America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92,832</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418,491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-1751330</wp:posOffset>
            </wp:positionV>
            <wp:extent cx="7132320" cy="265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-1219835</wp:posOffset>
            </wp:positionV>
            <wp:extent cx="7132320"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-688340</wp:posOffset>
            </wp:positionV>
            <wp:extent cx="7132320"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-156845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168275</wp:posOffset>
            </wp:positionV>
            <wp:extent cx="7132320" cy="265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9"/>
        </w:trPr>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Energy Transition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III</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84,404</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-1276350</wp:posOffset>
            </wp:positionV>
            <wp:extent cx="71323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-599440</wp:posOffset>
            </wp:positionV>
            <wp:extent cx="7132320" cy="266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-179070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900"/>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1,200,396</w:t>
      </w:r>
      <w:r>
        <w:rPr>
          <w:sz w:val="20"/>
          <w:szCs w:val="20"/>
          <w:color w:val="auto"/>
        </w:rPr>
        <w:tab/>
      </w:r>
      <w:r>
        <w:rPr>
          <w:rFonts w:ascii="Times New Roman" w:cs="Times New Roman" w:eastAsia="Times New Roman" w:hAnsi="Times New Roman"/>
          <w:sz w:val="18"/>
          <w:szCs w:val="18"/>
          <w:b w:val="1"/>
          <w:bCs w:val="1"/>
          <w:color w:val="auto"/>
        </w:rPr>
        <w:t>68.6 %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80" w:space="80"/>
            <w:col w:w="6180"/>
          </w:cols>
          <w:pgMar w:left="320" w:top="44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T-POP Investment Holdings Entity</w:t>
            </w:r>
          </w:p>
        </w:tc>
      </w:tr>
      <w:tr>
        <w:trPr>
          <w:trHeight w:val="217"/>
        </w:trPr>
        <w:tc>
          <w:tcPr>
            <w:tcW w:w="2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Unaffiliated Investee Funds</w:t>
            </w:r>
          </w:p>
        </w:tc>
        <w:tc>
          <w:tcPr>
            <w:tcW w:w="8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r>
      <w:tr>
        <w:trPr>
          <w:trHeight w:val="23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Services</w:t>
            </w:r>
          </w:p>
        </w:tc>
        <w:tc>
          <w:tcPr>
            <w:tcW w:w="2520" w:type="dxa"/>
            <w:vAlign w:val="bottom"/>
          </w:tcPr>
          <w:p>
            <w:pPr>
              <w:spacing w:after="0"/>
              <w:rPr>
                <w:sz w:val="20"/>
                <w:szCs w:val="20"/>
                <w:color w:val="auto"/>
              </w:rPr>
            </w:pPr>
          </w:p>
        </w:tc>
      </w:tr>
      <w:tr>
        <w:trPr>
          <w:trHeight w:val="180"/>
        </w:trPr>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w:t>
            </w:r>
          </w:p>
        </w:tc>
        <w:tc>
          <w:tcPr>
            <w:tcW w:w="2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VII,</w:t>
            </w:r>
          </w:p>
        </w:tc>
      </w:tr>
      <w:tr>
        <w:trPr>
          <w:trHeight w:val="238"/>
        </w:trPr>
        <w:tc>
          <w:tcPr>
            <w:tcW w:w="246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Unaffiliated Investee Fund</w:t>
            </w:r>
            <w:r>
              <w:rPr>
                <w:rFonts w:ascii="Times New Roman" w:cs="Times New Roman" w:eastAsia="Times New Roman" w:hAnsi="Times New Roman"/>
                <w:sz w:val="23"/>
                <w:szCs w:val="23"/>
                <w:color w:val="auto"/>
                <w:vertAlign w:val="superscript"/>
              </w:rPr>
              <w:t>(b)</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r>
      <w:tr>
        <w:trPr>
          <w:trHeight w:val="180"/>
        </w:trPr>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w:t>
            </w:r>
          </w:p>
        </w:tc>
        <w:tc>
          <w:tcPr>
            <w:tcW w:w="2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III,</w:t>
            </w:r>
          </w:p>
        </w:tc>
      </w:tr>
      <w:tr>
        <w:trPr>
          <w:trHeight w:val="238"/>
        </w:trPr>
        <w:tc>
          <w:tcPr>
            <w:tcW w:w="246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Unaffiliated Investee Fund</w:t>
            </w:r>
            <w:r>
              <w:rPr>
                <w:rFonts w:ascii="Times New Roman" w:cs="Times New Roman" w:eastAsia="Times New Roman" w:hAnsi="Times New Roman"/>
                <w:sz w:val="23"/>
                <w:szCs w:val="23"/>
                <w:color w:val="auto"/>
                <w:vertAlign w:val="superscript"/>
              </w:rPr>
              <w:t>(b)</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r>
      <w:tr>
        <w:trPr>
          <w:trHeight w:val="180"/>
        </w:trPr>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w:t>
            </w:r>
          </w:p>
        </w:tc>
        <w:tc>
          <w:tcPr>
            <w:tcW w:w="2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VII,</w:t>
            </w:r>
          </w:p>
        </w:tc>
      </w:tr>
      <w:tr>
        <w:trPr>
          <w:trHeight w:val="248"/>
        </w:trPr>
        <w:tc>
          <w:tcPr>
            <w:tcW w:w="246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18"/>
                <w:szCs w:val="18"/>
                <w:color w:val="auto"/>
              </w:rPr>
              <w:t>Unaffiliated Investee Fund</w:t>
            </w:r>
            <w:r>
              <w:rPr>
                <w:rFonts w:ascii="Times New Roman" w:cs="Times New Roman" w:eastAsia="Times New Roman" w:hAnsi="Times New Roman"/>
                <w:sz w:val="23"/>
                <w:szCs w:val="23"/>
                <w:color w:val="auto"/>
                <w:vertAlign w:val="superscript"/>
              </w:rPr>
              <w:t>(b)</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Consumer Services</w:t>
            </w:r>
          </w:p>
        </w:tc>
        <w:tc>
          <w:tcPr>
            <w:tcW w:w="2520" w:type="dxa"/>
            <w:vAlign w:val="bottom"/>
          </w:tcPr>
          <w:p>
            <w:pPr>
              <w:spacing w:after="0"/>
              <w:rPr>
                <w:sz w:val="20"/>
                <w:szCs w:val="20"/>
                <w:color w:val="auto"/>
              </w:rPr>
            </w:pPr>
          </w:p>
        </w:tc>
      </w:tr>
      <w:tr>
        <w:trPr>
          <w:trHeight w:val="44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Health Care Equipment &amp;</w:t>
            </w:r>
          </w:p>
        </w:tc>
        <w:tc>
          <w:tcPr>
            <w:tcW w:w="2520" w:type="dxa"/>
            <w:vAlign w:val="bottom"/>
          </w:tcPr>
          <w:p>
            <w:pPr>
              <w:spacing w:after="0"/>
              <w:rPr>
                <w:sz w:val="24"/>
                <w:szCs w:val="24"/>
                <w:color w:val="auto"/>
              </w:rPr>
            </w:pPr>
          </w:p>
        </w:tc>
      </w:t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520" w:type="dxa"/>
            <w:vAlign w:val="bottom"/>
          </w:tcPr>
          <w:p>
            <w:pPr>
              <w:spacing w:after="0"/>
              <w:rPr>
                <w:sz w:val="20"/>
                <w:szCs w:val="20"/>
                <w:color w:val="auto"/>
              </w:rPr>
            </w:pPr>
          </w:p>
        </w:tc>
      </w:tr>
      <w:tr>
        <w:trPr>
          <w:trHeight w:val="180"/>
        </w:trPr>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w:t>
            </w:r>
          </w:p>
        </w:tc>
        <w:tc>
          <w:tcPr>
            <w:tcW w:w="25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T-POP Investment Holdings VII,</w:t>
            </w:r>
          </w:p>
        </w:tc>
      </w:tr>
      <w:tr>
        <w:trPr>
          <w:trHeight w:val="234"/>
        </w:trPr>
        <w:tc>
          <w:tcPr>
            <w:tcW w:w="2460" w:type="dxa"/>
            <w:vAlign w:val="bottom"/>
            <w:gridSpan w:val="2"/>
          </w:tcPr>
          <w:p>
            <w:pPr>
              <w:ind w:left="140"/>
              <w:spacing w:after="0" w:line="234" w:lineRule="exact"/>
              <w:rPr>
                <w:sz w:val="20"/>
                <w:szCs w:val="20"/>
                <w:color w:val="auto"/>
              </w:rPr>
            </w:pPr>
            <w:r>
              <w:rPr>
                <w:rFonts w:ascii="Times New Roman" w:cs="Times New Roman" w:eastAsia="Times New Roman" w:hAnsi="Times New Roman"/>
                <w:sz w:val="18"/>
                <w:szCs w:val="18"/>
                <w:color w:val="auto"/>
              </w:rPr>
              <w:t>Unaffiliated Investee Fund</w:t>
            </w:r>
            <w:r>
              <w:rPr>
                <w:rFonts w:ascii="Times New Roman" w:cs="Times New Roman" w:eastAsia="Times New Roman" w:hAnsi="Times New Roman"/>
                <w:sz w:val="23"/>
                <w:szCs w:val="23"/>
                <w:color w:val="auto"/>
                <w:vertAlign w:val="superscript"/>
              </w:rPr>
              <w:t>(b)</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r>
      <w:tr>
        <w:trPr>
          <w:trHeight w:val="184"/>
        </w:trPr>
        <w:tc>
          <w:tcPr>
            <w:tcW w:w="2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Total Health Care Equipment</w:t>
            </w:r>
          </w:p>
        </w:tc>
        <w:tc>
          <w:tcPr>
            <w:tcW w:w="2520" w:type="dxa"/>
            <w:vAlign w:val="bottom"/>
          </w:tcPr>
          <w:p>
            <w:pPr>
              <w:spacing w:after="0"/>
              <w:rPr>
                <w:sz w:val="16"/>
                <w:szCs w:val="16"/>
                <w:color w:val="auto"/>
              </w:rPr>
            </w:pPr>
          </w:p>
        </w:tc>
      </w:t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&amp; Services</w:t>
            </w:r>
          </w:p>
        </w:tc>
        <w:tc>
          <w:tcPr>
            <w:tcW w:w="2520" w:type="dxa"/>
            <w:vAlign w:val="bottom"/>
          </w:tcPr>
          <w:p>
            <w:pPr>
              <w:spacing w:after="0"/>
              <w:rPr>
                <w:sz w:val="20"/>
                <w:szCs w:val="20"/>
                <w:color w:val="auto"/>
              </w:rPr>
            </w:pPr>
          </w:p>
        </w:tc>
      </w:tr>
      <w:tr>
        <w:trPr>
          <w:trHeight w:val="49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 &amp; Services</w:t>
            </w:r>
          </w:p>
        </w:tc>
        <w:tc>
          <w:tcPr>
            <w:tcW w:w="2520" w:type="dxa"/>
            <w:vAlign w:val="bottom"/>
          </w:tcPr>
          <w:p>
            <w:pPr>
              <w:spacing w:after="0"/>
              <w:rPr>
                <w:sz w:val="24"/>
                <w:szCs w:val="24"/>
                <w:color w:val="auto"/>
              </w:rPr>
            </w:pPr>
          </w:p>
        </w:tc>
      </w:tr>
      <w:tr>
        <w:trPr>
          <w:trHeight w:val="180"/>
        </w:trPr>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w:t>
            </w:r>
          </w:p>
        </w:tc>
        <w:tc>
          <w:tcPr>
            <w:tcW w:w="2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VII,</w:t>
            </w:r>
          </w:p>
        </w:tc>
      </w:tr>
      <w:tr>
        <w:trPr>
          <w:trHeight w:val="238"/>
        </w:trPr>
        <w:tc>
          <w:tcPr>
            <w:tcW w:w="246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Unaffiliated Investee Funds</w:t>
            </w:r>
            <w:r>
              <w:rPr>
                <w:rFonts w:ascii="Times New Roman" w:cs="Times New Roman" w:eastAsia="Times New Roman" w:hAnsi="Times New Roman"/>
                <w:sz w:val="23"/>
                <w:szCs w:val="23"/>
                <w:color w:val="auto"/>
                <w:vertAlign w:val="superscript"/>
              </w:rPr>
              <w:t>(b)</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r>
      <w:tr>
        <w:trPr>
          <w:trHeight w:val="180"/>
        </w:trPr>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w:t>
            </w:r>
          </w:p>
        </w:tc>
        <w:tc>
          <w:tcPr>
            <w:tcW w:w="2520" w:type="dxa"/>
            <w:vAlign w:val="bottom"/>
          </w:tcPr>
          <w:p>
            <w:pPr>
              <w:spacing w:after="0"/>
              <w:rPr>
                <w:sz w:val="15"/>
                <w:szCs w:val="15"/>
                <w:color w:val="auto"/>
              </w:rPr>
            </w:pPr>
          </w:p>
        </w:tc>
      </w:tr>
      <w:tr>
        <w:trPr>
          <w:trHeight w:val="238"/>
        </w:trPr>
        <w:tc>
          <w:tcPr>
            <w:tcW w:w="2460" w:type="dxa"/>
            <w:vAlign w:val="bottom"/>
            <w:gridSpan w:val="2"/>
          </w:tcPr>
          <w:p>
            <w:pPr>
              <w:ind w:left="140"/>
              <w:spacing w:after="0" w:line="239" w:lineRule="exact"/>
              <w:rPr>
                <w:sz w:val="20"/>
                <w:szCs w:val="20"/>
                <w:color w:val="auto"/>
              </w:rPr>
            </w:pPr>
            <w:r>
              <w:rPr>
                <w:rFonts w:ascii="Times New Roman" w:cs="Times New Roman" w:eastAsia="Times New Roman" w:hAnsi="Times New Roman"/>
                <w:sz w:val="18"/>
                <w:szCs w:val="18"/>
                <w:color w:val="auto"/>
              </w:rPr>
              <w:t>Unaffiliated Investee Fund</w:t>
            </w:r>
            <w:r>
              <w:rPr>
                <w:rFonts w:ascii="Times New Roman" w:cs="Times New Roman" w:eastAsia="Times New Roman" w:hAnsi="Times New Roman"/>
                <w:sz w:val="23"/>
                <w:szCs w:val="23"/>
                <w:color w:val="auto"/>
                <w:vertAlign w:val="superscript"/>
              </w:rPr>
              <w:t>(b)</w:t>
            </w: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T-POP Investment Holdings VI, L.P.</w:t>
            </w:r>
          </w:p>
        </w:tc>
      </w:tr>
      <w:tr>
        <w:trPr>
          <w:trHeight w:val="180"/>
        </w:trPr>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Investments in</w:t>
            </w:r>
          </w:p>
        </w:tc>
        <w:tc>
          <w:tcPr>
            <w:tcW w:w="2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VI,</w:t>
            </w:r>
          </w:p>
        </w:tc>
      </w:tr>
      <w:tr>
        <w:trPr>
          <w:trHeight w:val="248"/>
        </w:trPr>
        <w:tc>
          <w:tcPr>
            <w:tcW w:w="246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18"/>
                <w:szCs w:val="18"/>
                <w:color w:val="auto"/>
              </w:rPr>
              <w:t>Unaffiliated Investee Fund</w:t>
            </w:r>
            <w:r>
              <w:rPr>
                <w:rFonts w:ascii="Times New Roman" w:cs="Times New Roman" w:eastAsia="Times New Roman" w:hAnsi="Times New Roman"/>
                <w:sz w:val="23"/>
                <w:szCs w:val="23"/>
                <w:color w:val="auto"/>
                <w:vertAlign w:val="superscript"/>
              </w:rPr>
              <w:t>(b)</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L.P.</w:t>
            </w:r>
          </w:p>
        </w:tc>
      </w:t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Software &amp; Services</w:t>
            </w:r>
          </w:p>
        </w:tc>
        <w:tc>
          <w:tcPr>
            <w:tcW w:w="2520" w:type="dxa"/>
            <w:vAlign w:val="bottom"/>
          </w:tcPr>
          <w:p>
            <w:pPr>
              <w:spacing w:after="0"/>
              <w:rPr>
                <w:sz w:val="20"/>
                <w:szCs w:val="20"/>
                <w:color w:val="auto"/>
              </w:rPr>
            </w:pPr>
          </w:p>
        </w:tc>
      </w:tr>
      <w:tr>
        <w:trPr>
          <w:trHeight w:val="44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Unaffiliated Investee</w:t>
            </w:r>
          </w:p>
        </w:tc>
        <w:tc>
          <w:tcPr>
            <w:tcW w:w="2520" w:type="dxa"/>
            <w:vAlign w:val="bottom"/>
          </w:tcPr>
          <w:p>
            <w:pPr>
              <w:spacing w:after="0"/>
              <w:rPr>
                <w:sz w:val="24"/>
                <w:szCs w:val="24"/>
                <w:color w:val="auto"/>
              </w:rPr>
            </w:pPr>
          </w:p>
        </w:tc>
      </w:tr>
      <w:tr>
        <w:trPr>
          <w:trHeight w:val="180"/>
        </w:trPr>
        <w:tc>
          <w:tcPr>
            <w:tcW w:w="24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Funds (Cost $86,087 N.</w:t>
            </w:r>
          </w:p>
        </w:tc>
        <w:tc>
          <w:tcPr>
            <w:tcW w:w="2520" w:type="dxa"/>
            <w:vAlign w:val="bottom"/>
          </w:tcPr>
          <w:p>
            <w:pPr>
              <w:spacing w:after="0"/>
              <w:rPr>
                <w:sz w:val="15"/>
                <w:szCs w:val="15"/>
                <w:color w:val="auto"/>
              </w:rPr>
            </w:pPr>
          </w:p>
        </w:tc>
      </w:tr>
      <w:tr>
        <w:trPr>
          <w:trHeight w:val="184"/>
        </w:trPr>
        <w:tc>
          <w:tcPr>
            <w:tcW w:w="2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America, $76,075 Europe,</w:t>
            </w:r>
          </w:p>
        </w:tc>
        <w:tc>
          <w:tcPr>
            <w:tcW w:w="2520" w:type="dxa"/>
            <w:vAlign w:val="bottom"/>
          </w:tcPr>
          <w:p>
            <w:pPr>
              <w:spacing w:after="0"/>
              <w:rPr>
                <w:sz w:val="16"/>
                <w:szCs w:val="16"/>
                <w:color w:val="auto"/>
              </w:rPr>
            </w:pPr>
          </w:p>
        </w:tc>
      </w:t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$2,617 Asia)</w:t>
            </w:r>
          </w:p>
        </w:tc>
        <w:tc>
          <w:tcPr>
            <w:tcW w:w="2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0" w:type="dxa"/>
            <w:vAlign w:val="bottom"/>
          </w:tcPr>
          <w:p>
            <w:pPr>
              <w:spacing w:after="0"/>
              <w:rPr>
                <w:sz w:val="1"/>
                <w:szCs w:val="1"/>
                <w:color w:val="auto"/>
              </w:rPr>
            </w:pPr>
          </w:p>
        </w:tc>
      </w:tr>
      <w:tr>
        <w:trPr>
          <w:trHeight w:val="216"/>
        </w:trPr>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80" w:type="dxa"/>
            <w:vAlign w:val="bottom"/>
            <w:vMerge w:val="restart"/>
          </w:tcPr>
          <w:p>
            <w:pPr>
              <w:spacing w:after="0"/>
              <w:rPr>
                <w:sz w:val="18"/>
                <w:szCs w:val="18"/>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Geography</w:t>
            </w:r>
            <w:r>
              <w:rPr>
                <w:rFonts w:ascii="Times New Roman" w:cs="Times New Roman" w:eastAsia="Times New Roman" w:hAnsi="Times New Roman"/>
                <w:sz w:val="21"/>
                <w:szCs w:val="21"/>
                <w:b w:val="1"/>
                <w:bCs w:val="1"/>
                <w:color w:val="auto"/>
                <w:vertAlign w:val="superscript"/>
              </w:rPr>
              <w:t>(a)</w:t>
            </w:r>
          </w:p>
        </w:tc>
        <w:tc>
          <w:tcPr>
            <w:tcW w:w="100" w:type="dxa"/>
            <w:vAlign w:val="bottom"/>
            <w:vMerge w:val="restart"/>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Valuation</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Fair Value ($)</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Net</w:t>
            </w:r>
          </w:p>
        </w:tc>
        <w:tc>
          <w:tcPr>
            <w:tcW w:w="0" w:type="dxa"/>
            <w:vAlign w:val="bottom"/>
          </w:tcPr>
          <w:p>
            <w:pPr>
              <w:spacing w:after="0"/>
              <w:rPr>
                <w:sz w:val="1"/>
                <w:szCs w:val="1"/>
                <w:color w:val="auto"/>
              </w:rPr>
            </w:pPr>
          </w:p>
        </w:tc>
      </w:tr>
      <w:tr>
        <w:trPr>
          <w:trHeight w:val="162"/>
        </w:trPr>
        <w:tc>
          <w:tcPr>
            <w:tcW w:w="14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Level</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Assets (%) </w:t>
            </w:r>
            <w:r>
              <w:rPr>
                <w:rFonts w:ascii="Times New Roman" w:cs="Times New Roman" w:eastAsia="Times New Roman" w:hAnsi="Times New Roman"/>
                <w:sz w:val="18"/>
                <w:szCs w:val="18"/>
                <w:b w:val="1"/>
                <w:bCs w:val="1"/>
                <w:color w:val="auto"/>
                <w:vertAlign w:val="superscript"/>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-7620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291465</wp:posOffset>
            </wp:positionV>
            <wp:extent cx="7132320"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Consumer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NAV</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Consumer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Asia</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NAV</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Consumer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NAV</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102"/>
        </w:trPr>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Healthcare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NAV</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9"/>
        </w:trPr>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 America</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NAV</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6"/>
                <w:szCs w:val="16"/>
                <w:color w:val="auto"/>
                <w:w w:val="99"/>
              </w:rPr>
              <w:t>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 America</w:t>
            </w: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NAV</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NAV</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103,742</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Borders>
              <w:bottom w:val="single" w:sz="8" w:color="auto"/>
            </w:tcBorders>
            <w:gridSpan w:val="2"/>
          </w:tcPr>
          <w:p>
            <w:pPr>
              <w:spacing w:after="0"/>
              <w:rPr>
                <w:sz w:val="23"/>
                <w:szCs w:val="23"/>
                <w:color w:val="auto"/>
              </w:rPr>
            </w:pPr>
          </w:p>
        </w:tc>
      </w:tr>
      <w:tr>
        <w:trPr>
          <w:trHeight w:val="750"/>
        </w:trPr>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191,443</w:t>
            </w:r>
          </w:p>
        </w:tc>
        <w:tc>
          <w:tcPr>
            <w:tcW w:w="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-3316605</wp:posOffset>
            </wp:positionV>
            <wp:extent cx="713232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-2896870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-2459355</wp:posOffset>
            </wp:positionV>
            <wp:extent cx="713232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-1928495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-1610995</wp:posOffset>
            </wp:positionV>
            <wp:extent cx="7132320"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-1079500</wp:posOffset>
            </wp:positionV>
            <wp:extent cx="7132320"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-659765</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80" w:space="80"/>
            <w:col w:w="6180"/>
          </w:cols>
          <w:pgMar w:left="320" w:top="4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T-POP Investment Holdings Entity</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Core Sector</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Geography</w:t>
            </w:r>
            <w:r>
              <w:rPr>
                <w:rFonts w:ascii="Times New Roman" w:cs="Times New Roman" w:eastAsia="Times New Roman" w:hAnsi="Times New Roman"/>
                <w:sz w:val="21"/>
                <w:szCs w:val="21"/>
                <w:b w:val="1"/>
                <w:bCs w:val="1"/>
                <w:color w:val="auto"/>
                <w:w w:val="96"/>
                <w:vertAlign w:val="superscript"/>
              </w:rPr>
              <w:t>(a)</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0" w:type="dxa"/>
            <w:vAlign w:val="bottom"/>
          </w:tcPr>
          <w:p>
            <w:pPr>
              <w:spacing w:after="0"/>
              <w:rPr>
                <w:sz w:val="1"/>
                <w:szCs w:val="1"/>
                <w:color w:val="auto"/>
              </w:rPr>
            </w:pPr>
          </w:p>
        </w:tc>
      </w:tr>
      <w:tr>
        <w:trPr>
          <w:trHeight w:val="214"/>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Affiliated Investee Funds</w:t>
            </w:r>
          </w:p>
        </w:tc>
        <w:tc>
          <w:tcPr>
            <w:tcW w:w="8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T-POP Investment Holdings IV,</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Growth VI</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3"/>
              </w:rPr>
              <w:t>L.P.</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 America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NAV</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Services</w:t>
            </w: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GP-Led Secondaries</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Investment in Affiliated</w:t>
            </w:r>
          </w:p>
        </w:tc>
        <w:tc>
          <w:tcPr>
            <w:tcW w:w="2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T-POP Investment Holdings VII,</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50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18"/>
                <w:szCs w:val="18"/>
                <w:color w:val="auto"/>
              </w:rPr>
              <w:t>Investee Fund</w:t>
            </w:r>
            <w:r>
              <w:rPr>
                <w:rFonts w:ascii="Times New Roman" w:cs="Times New Roman" w:eastAsia="Times New Roman" w:hAnsi="Times New Roman"/>
                <w:sz w:val="23"/>
                <w:szCs w:val="23"/>
                <w:color w:val="auto"/>
                <w:vertAlign w:val="superscript"/>
              </w:rPr>
              <w:t>(b)</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3"/>
              </w:rPr>
              <w:t>L.P.</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 America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NAV</w:t>
            </w: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GP-Led Secondaries</w:t>
            </w: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(Cost</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$123,067 North America)</w:t>
            </w: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T-POP Investment Holdings II,</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Asset</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IV,</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Asset</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VII,</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Asset</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T-POP Investment Holdings III,</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L.P.</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(Cost</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5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$1,018,444 North</w:t>
            </w:r>
          </w:p>
        </w:tc>
        <w:tc>
          <w:tcPr>
            <w:tcW w:w="2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America,$204,165 Europe,</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$113,088 Asia)</w:t>
            </w: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-4342765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-4042410</wp:posOffset>
            </wp:positionV>
            <wp:extent cx="713232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-3622675</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-3314065</wp:posOffset>
            </wp:positionV>
            <wp:extent cx="7132320" cy="265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-2893695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-2456815</wp:posOffset>
            </wp:positionV>
            <wp:extent cx="71323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-2148205</wp:posOffset>
            </wp:positionV>
            <wp:extent cx="7132320" cy="265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-1616710</wp:posOffset>
            </wp:positionV>
            <wp:extent cx="7132320"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-1085215</wp:posOffset>
            </wp:positionV>
            <wp:extent cx="7132320" cy="266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includes Europe and Middle East; Asia includes Asia and Australia.</w:t>
      </w:r>
    </w:p>
    <w:p>
      <w:pPr>
        <w:spacing w:after="0" w:line="59"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single investments included in this category that exceeded 5% of net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w:t>
            </w:r>
          </w:p>
        </w:tc>
      </w:tr>
      <w:tr>
        <w:trPr>
          <w:trHeight w:val="216"/>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Fair Value ($)</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Net</w:t>
            </w:r>
          </w:p>
        </w:tc>
      </w:tr>
      <w:tr>
        <w:trPr>
          <w:trHeight w:val="162"/>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Assets (%) </w:t>
            </w:r>
            <w:r>
              <w:rPr>
                <w:rFonts w:ascii="Times New Roman" w:cs="Times New Roman" w:eastAsia="Times New Roman" w:hAnsi="Times New Roman"/>
                <w:sz w:val="18"/>
                <w:szCs w:val="18"/>
                <w:b w:val="1"/>
                <w:bCs w:val="1"/>
                <w:color w:val="auto"/>
                <w:vertAlign w:val="superscript"/>
              </w:rPr>
              <w:t>(d)</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87,794</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87,794</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0"/>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10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Borders>
              <w:bottom w:val="single" w:sz="8" w:color="auto"/>
            </w:tcBorders>
            <w:gridSpan w:val="2"/>
          </w:tcPr>
          <w:p>
            <w:pPr>
              <w:spacing w:after="0"/>
              <w:rPr>
                <w:sz w:val="23"/>
                <w:szCs w:val="23"/>
                <w:color w:val="auto"/>
              </w:rPr>
            </w:pPr>
          </w:p>
        </w:tc>
      </w:tr>
      <w:tr>
        <w:trPr>
          <w:trHeight w:val="399"/>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143,181</w:t>
            </w:r>
          </w:p>
        </w:tc>
        <w:tc>
          <w:tcPr>
            <w:tcW w:w="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r>
      <w:tr>
        <w:trPr>
          <w:trHeight w:val="90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1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2"/>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0" w:lineRule="exact"/>
        <w:rPr>
          <w:sz w:val="20"/>
          <w:szCs w:val="20"/>
          <w:color w:val="auto"/>
        </w:rPr>
      </w:pPr>
    </w:p>
    <w:p>
      <w:pPr>
        <w:ind w:left="2080" w:hanging="1462"/>
        <w:spacing w:after="0"/>
        <w:tabs>
          <w:tab w:leader="none" w:pos="20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 %</w:t>
      </w:r>
    </w:p>
    <w:p>
      <w:pPr>
        <w:spacing w:after="0" w:line="211" w:lineRule="exact"/>
        <w:rPr>
          <w:sz w:val="20"/>
          <w:szCs w:val="20"/>
          <w:color w:val="auto"/>
        </w:rPr>
      </w:pPr>
    </w:p>
    <w:p>
      <w:pPr>
        <w:ind w:left="2100" w:hanging="1482"/>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3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16027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16027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  1,536,616</w:t>
      </w:r>
      <w:r>
        <w:rPr>
          <w:sz w:val="20"/>
          <w:szCs w:val="20"/>
          <w:color w:val="auto"/>
        </w:rPr>
        <w:tab/>
      </w:r>
      <w:r>
        <w:rPr>
          <w:rFonts w:ascii="Times New Roman" w:cs="Times New Roman" w:eastAsia="Times New Roman" w:hAnsi="Times New Roman"/>
          <w:sz w:val="17"/>
          <w:szCs w:val="17"/>
          <w:b w:val="1"/>
          <w:bCs w:val="1"/>
          <w:color w:val="auto"/>
        </w:rPr>
        <w:t>87.7 %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60274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02740" cy="34290"/>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8640" w:space="80"/>
            <w:col w:w="2520"/>
          </w:cols>
          <w:pgMar w:left="320" w:top="445" w:right="339" w:bottom="1440" w:gutter="0" w:footer="0" w:header="0"/>
        </w:sectPr>
      </w:pPr>
    </w:p>
    <w:p>
      <w:pPr>
        <w:ind w:left="500" w:right="160" w:hanging="492"/>
        <w:spacing w:after="0" w:line="236" w:lineRule="exact"/>
        <w:tabs>
          <w:tab w:leader="none" w:pos="49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presented reflect the 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POP Fund Complex’s proportionate interest in the Aggregator’s investment portfolio on a look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through basis. As of March 31, 2026, 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POP held a 79.0% ownership interest in the Aggregator. The remaining interest was held by a Parallel Investment Entity.</w:t>
      </w:r>
    </w:p>
    <w:p>
      <w:pPr>
        <w:spacing w:after="0" w:line="7"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Assets used to calculate the percentage pertains to the Net Assets of the Aggregator allocated to the T-POP Fund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26, 2025, a subsidiary of the Aggregator entered into an unsecured, uncommitted Line of Credit with TPG Operating Group II, L.P., an affiliate of the Fund. The facility provides the Aggregator with a maximum borrowing capacity of up to $250.0 million in aggregate principal amount. See Note 5. ‘Line of Credit Arrangement” within the Notes to Condensed Consolidated Financial Statements of the Aggregator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T-POP is generally reliant on TPG to source and execute private equity transactions. 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first quarter of 2026 was defined by a pivot toward volatility and defensive positioning by investors. Market sentiment was primarily pressured by the dual threats of an escalating Middle Eastern conflict, which disrupted global energy stability and ignited a commodity rally, alongside deepening concerns regarding the disruptive impact of artificial intelligence on legacy business models. Although the U.S. economy displayed underlying strength through steady growth and a resilient labor market, these geopolitical and structural shocks reignited inflationary pressures, forcing the Federal Reserve to halt its easing cycle and adopt a more hawkish stance. Consequently, a climate of strategic caution prevails as market participants maintain a defensive orientation, seeking greater visibility into the eventual resolution of these intersecting geopolitical, secular and macroeconomic uncertainties.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Equities reversed their positive momentum from recent quarters, with the S&amp;P 500 and Dow Jones Industrial Average declining 4.6% and 3.6%, respectively. Performance diverged sharply by sector: energy, materials and utilities surged 37.2%, 9.3% and 7.5%, respectively, on the back of a commodity rally fueled by the Iran conflict. Conversely, financials, information technology and consumer discretionary lagged with declines of 9.8%, 9.3% and 9.3%, respectively, as investors reassessed valuations amid concerns over artificial intelligence disruption to legacy business models and the potential impact of widening conflict on prices and consumer spending. Global equity indices demonstrated relative resilience, with the MSCI Europe Index declining 1.5% and the MSCI Asia Pacific index falling 0.5%, outperformance largely attributable to their lower exposure to technology and software businesses.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Economic indicators in the first quarter of 2026 reflected the impact of geopolitical disruption and persistent inflation. The Consumer Price Index, which had declined toward 2.6% in early February, reversed course following the Middle Eastern conflict, rising to approximately 3.0% to 3.5% by quarter-end as energy and food prices increased. Core inflation, excluding food and energy, remained elevated at 3.2% to 3.4% throughout the quarter. The unemployment rate stood at 4.3% in January and stabilized near 4.4% to 4.5% through March. Monthly job gains averaged 150,000 to 180,000, consistent with the low-hire, low-fire labor market environment established in late 2025. U.S. real GDP growth tracked between 2.0% and 3.0% for the quarter according to the Federal Reserve Bank of Atlanta's GDPNow model.</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Federal Reserve held interest rates steady at its March meeting, maintaining the target range at 3.50% to 3.75%. This marked a pause in the easing cycle that began in late 2024, with no rate cuts implemented during Q1 2026. The Board of Governors of the Federal Reserve System (the “Fed”) adopted a more hawkish tone, signaling that rate cuts previously expected for 2026 were now unlikely, influenced by renewed inflation pressures from Middle Eastern conflict and resilient labor market conditions. Market participants shifted from pricing in multiple cuts to pricing in zero cuts for the remainder of the year.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U.S. Treasury yield curve flattened in the first quarter, driven by a sell-off at the long end of the curve. Following the geopolitical shock and hawkish repricing of Federal Reserve policy, yields across Treasuries rose quarter over quarter. Yields on 10-year and 30-year Treasuries increased by approximately 30 to 40 basis points, while shorter maturities rose by roughly 15 to 20 basis points. Treasury yields reversed their late-2025 decline, moving higher as markets abandoned expectations for near-term rate cuts.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corporate credit markets, both U.S. and European high yield generated negative performance in the first quarter of 2026. According to J.P. Morgan data, U.S. high yield was down 0.3% and the European market returned 1.5% during the three-month period. In the United States, high yield bond spreads widened by 41 basis points during the quarter to 355 basis points compared to 314 at the start of the year. In Europe, high yield spreads widened by 67 basis points during the quarter to 412 basis points, up from 345 at the beginning of the year. The high yield default rate, measured on a trailing twelve-month basis, increased from 1.9% to 2.1% in the United States and modestly decreased from 3.2% to 3.1% in Europe. Additionally, the J.P. Morgan U.S. Leveraged Loan Index posted a (0.4%) return, and the J.P. Morgan European Leveraged Loan Index posted a (1.0%) return for the first quarter of 2026. From a spread and yield basis, the U.S. Leveraged Loan Index ended the quarter at a yield of 8.4% and 484 basis point spread, while the European Leverage Loan Index ended the quarter at a yield of 8.3% and 547 basis point spread.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key financial and operating measures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Through its investment in the Aggregator, T-POP generates income primarily from investments in portfolio companies, affiliated or unaffiliated funds, and debt and other securities, which consist of dividend income and interest income.</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 and Interest Income. </w:t>
      </w:r>
      <w:r>
        <w:rPr>
          <w:rFonts w:ascii="Times New Roman" w:cs="Times New Roman" w:eastAsia="Times New Roman" w:hAnsi="Times New Roman"/>
          <w:sz w:val="18"/>
          <w:szCs w:val="18"/>
          <w:color w:val="auto"/>
        </w:rPr>
        <w:t>Dividend income consists of (i) dividend income from portfolio companies and (ii) dividend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money market funds. Dividend income from our portfolio companies is recorded on the ex-dividend date, or, in the absence of a formal declaration of a record date, on the date when cash is received from the relevant portfolio company, but excludes any portion of distributions that are treated as a return of capital. Each distribution received from a portfolio company is evaluated to determine if the distribution should be recorded as dividend income or a return of capital. Distributions that are classified as a return of capital are recorded as a reduction in the cost basis of the investment. Dividend income from money market funds with financial institutions is recorded on an accrual basis to the extent that the Fund expects to collect such amounts. For the three months ended March 31, 2026, dividend income consists of income from money market funds. Interest Income consists primarily of income from debt and other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Organizational and Offering Expenses. </w:t>
      </w:r>
      <w:r>
        <w:rPr>
          <w:rFonts w:ascii="Times New Roman" w:cs="Times New Roman" w:eastAsia="Times New Roman" w:hAnsi="Times New Roman"/>
          <w:sz w:val="18"/>
          <w:szCs w:val="18"/>
          <w:color w:val="auto"/>
        </w:rPr>
        <w:t>Organizational and offering expenses are costs incurred in connection with the formation of the Fund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of limited partnership units to potential investors. Prior to the anniversary of the Initial Closing, organization and offering expenses are paid by the Management Company. After T-POP accepted third party investors and commenced investment operations, costs associated with the organization of T-POP were expensed. Costs associated with the offering of Class S, Class R-S, Class D, Class R-D, Class I, Class R-I and Class F units of T-POP are capitalized as deferred expense and included as an asset on the Condensed Statements of Assets and Liabilities and amortized over a twelve-month period.</w:t>
      </w:r>
    </w:p>
    <w:p>
      <w:pPr>
        <w:spacing w:after="0" w:line="18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Participation Allocation. </w:t>
      </w:r>
      <w:r>
        <w:rPr>
          <w:rFonts w:ascii="Times New Roman" w:cs="Times New Roman" w:eastAsia="Times New Roman" w:hAnsi="Times New Roman"/>
          <w:sz w:val="18"/>
          <w:szCs w:val="18"/>
          <w:color w:val="auto"/>
        </w:rPr>
        <w:t>Performance participation allocation represents the portion of expense recognized in the period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that the General Partner is entitled to receive, contingent upon the achievement of specified performance metrics.</w:t>
      </w:r>
    </w:p>
    <w:p>
      <w:pPr>
        <w:spacing w:after="0" w:line="158"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Management Fee</w:t>
      </w:r>
      <w:r>
        <w:rPr>
          <w:rFonts w:ascii="Times New Roman" w:cs="Times New Roman" w:eastAsia="Times New Roman" w:hAnsi="Times New Roman"/>
          <w:sz w:val="18"/>
          <w:szCs w:val="18"/>
          <w:color w:val="auto"/>
        </w:rPr>
        <w:t>. Management fee pertains to the expense recognized in consideration of the Management Company’s management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rendered for T-POP.</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Professional Fees include costs primarily related to legal, valuation and audit fees.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Expenses</w:t>
      </w:r>
      <w:r>
        <w:rPr>
          <w:rFonts w:ascii="Times New Roman" w:cs="Times New Roman" w:eastAsia="Times New Roman" w:hAnsi="Times New Roman"/>
          <w:sz w:val="18"/>
          <w:szCs w:val="18"/>
          <w:color w:val="auto"/>
        </w:rPr>
        <w:t>. Other expenses include costs primarily related to fund administration, transfer agent, and insurance fees.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Realized and Unrealized Gain (Loss) on Investments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Realized gains or losses are measured as the difference between the net proceeds from the sale, repayment, or disposal of an asset and the adjusted cost basis of the asset, without regard to unrealized gains or losses previously recognized. Net change in unrealized gains or losses reflects the change in investment values during the reporting period, including any reversal of previously recorded unrealized gains or losses, when gains or losses are realized. T-POP generates income primarily from its investment in the Aggregator and has the same investment objectives as the Aggregator. T-POP has an interest of 79.0% in the Aggregator as of March 31, 2026. For the three months ended March 31, 2026, the Registrant recognized $28.9 million and the Aggregator recognized $12.3 million of Net Change in Unrealized Gain on Investments. For the three months ended March 31, 2026, the Aggregator recognized $23.4 million of realized gains on investment. There were no net realized gains or losses for the Registrant from the investment in the Aggregator for the three months ended March 31,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drivers of the result of operations of T-POP are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results of operations for the three months ended March 31, 2026 are discussed below:</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T-POP’s net increase in net assets resulting from operations of $23.3 million was attributable to $28.9 million in net unrealized gain on investment, partially offset by $5.6 million in net investment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T-POP did not recognize any dividend income. The Aggregator recognized dividend income of $2.1 million from investments in money market funds.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T-POP incurred $5.6 million in total expenses which consisted of performance participation allocation of $2.9 million, management fees of $1.9 million, and other expenses of $0.8 million which is primarily related to audit and administration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 (Loss)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2026, T-POP’s net investment loss was $5.6 million which was attributable to the expenses noted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 (Loss) on Investment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T-POP recognized $28.9 million of unrealized gain on the underlying investment in the Aggregator mainly driven by the Aggregator’s net gains on investments of $35.7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the three months ended March 31, 2026, T-POP accepted $325.2 million of total subscriptions from its monthly closes in its continuous private offerings. T-POP purchased investments in the Aggregator totaling $325.2 million. As of March 31, 2026, T-POP had total assets of $1,382.2 million, which primarily consist of the underlying investment in the Aggregator of $1,382.0 million. As of December 31, 2025, T-POP had total assets of $1,051.0 million, which primarily consisted of the underlying investment in the Aggregator of $1,050.5 million.</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T-POP had total liabilities of $20.5 million. Total liabilities primarily consist of accrued performance participation allocation of $2.9 million, servicing fees payable of $13.1 million, and organizational and offering costs payable of $1.7 million. As of December 31, 2025, T-POP had total liabilities of $33.0 million. Total liabilities consisted of accrued performance participation allocation of $19.3 million, servicing fees payable of $10.5 million, and organizational and offering costs payable of $1.7 million.</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Fund generates cash primarily from (i) the net proceeds of its continuous private offering, (ii) cash flows from its operations, (iii) any financing arrangements the Fund may enter into in the future and (iv) any future offerings of its equity securities.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Fund’s primary uses of cash are for (i) Investments, (ii) the cost of operations (including the Management Fee, Maintenance Fee and Performance Participation Allocation), (iii) debt service of any borrowings, (iv) periodic repurchases, including under the Redemption Program (as described herein), and (v) cash distributions (if any) to the holders of its Units to the extent declared by the General Partner.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T-POP had no cash and cash equivalents as of March 31, 2026 and December 31, 2025. T-POP does not consolidate the Aggregator as of March 31, 2026 and as of December 31, 2025. All the cash and cash equivalents are held by the Aggregator and its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T-POP’s cash flows for the periods presented ($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r>
      <w:tr>
        <w:trPr>
          <w:trHeight w:val="256"/>
        </w:trPr>
        <w:tc>
          <w:tcPr>
            <w:tcW w:w="8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flow used in operating activities was $314.8 million for the three months ended March 31, 2026 was primarily related to the purchases of investments of $316.8 million and unrealized gain on investment in the Aggregator, partially offset by investment proceeds of $13.8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flow provided by financing activities was $314.8 million for the three months ended March 31, 2026, which primarily reflects the proceeds from the issuance of Units.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debt financing available to the Fund consisted of the Line of Credit (as defined in Note 5. “Line of Credit Agreement” in the “Notes to the Condensed Consolidated Financial Statements” of the Aggregator). As of March 31, 2026, there were no outstanding borrowings under the Line of Credit, and no amounts were drawn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Transactional Net Asset Value (“Transactional NAV”)</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Fund calculates the transactional net asset value (“Transactional NAV”) for purposes of establishing the price at which transactions in the respective Units are made.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are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the major components of the Fund’s Transactional Net Asset Value as of March 31, 2026 ($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T-POP’s Transactional Net Asset Value</w:t>
            </w:r>
          </w:p>
        </w:tc>
        <w:tc>
          <w:tcPr>
            <w:tcW w:w="540" w:type="dxa"/>
            <w:vAlign w:val="bottom"/>
          </w:tcPr>
          <w:p>
            <w:pPr>
              <w:spacing w:after="0"/>
              <w:rPr>
                <w:sz w:val="18"/>
                <w:szCs w:val="18"/>
                <w:color w:val="auto"/>
              </w:rPr>
            </w:pPr>
          </w:p>
        </w:tc>
        <w:tc>
          <w:tcPr>
            <w:tcW w:w="2520" w:type="dxa"/>
            <w:vAlign w:val="bottom"/>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6"/>
        </w:trPr>
        <w:tc>
          <w:tcPr>
            <w:tcW w:w="8080" w:type="dxa"/>
            <w:vAlign w:val="bottom"/>
            <w:tcBorders>
              <w:top w:val="single" w:sz="8" w:color="auto"/>
            </w:tcBorders>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Investment in the Aggregator (cost of $1,202,776)</w:t>
            </w:r>
            <w:r>
              <w:rPr>
                <w:rFonts w:ascii="Times New Roman" w:cs="Times New Roman" w:eastAsia="Times New Roman" w:hAnsi="Times New Roman"/>
                <w:sz w:val="23"/>
                <w:szCs w:val="23"/>
                <w:color w:val="auto"/>
                <w:vertAlign w:val="superscript"/>
              </w:rPr>
              <w:t>(b)</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1,387,486</w:t>
            </w: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54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Fee Payable</w:t>
            </w:r>
          </w:p>
        </w:tc>
        <w:tc>
          <w:tcPr>
            <w:tcW w:w="54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30"/>
        </w:trPr>
        <w:tc>
          <w:tcPr>
            <w:tcW w:w="81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Servicing Fees Payable </w:t>
            </w:r>
            <w:r>
              <w:rPr>
                <w:rFonts w:ascii="Times New Roman" w:cs="Times New Roman" w:eastAsia="Times New Roman" w:hAnsi="Times New Roman"/>
                <w:sz w:val="23"/>
                <w:szCs w:val="23"/>
                <w:color w:val="auto"/>
                <w:vertAlign w:val="superscript"/>
              </w:rPr>
              <w:t>(a)</w:t>
            </w:r>
          </w:p>
        </w:tc>
        <w:tc>
          <w:tcPr>
            <w:tcW w:w="54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48"/>
        </w:trPr>
        <w:tc>
          <w:tcPr>
            <w:tcW w:w="8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1,381,560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55" w:lineRule="auto"/>
        <w:tabs>
          <w:tab w:leader="none" w:pos="4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Payable only apply to Class R-S and Class R-D Units. For purposes of T-POP’s Transactional NAV, the fees are recognized as a reduction of T-POP’s Transactional NAV on a monthly basis. For purposes of calculating net asset value in accordance with GAAP, the Fund accrues the cost of the servicing fees, as applicable, for the estimated life of the units at the time the Fund sells Class R-S and Class R-D Units.</w:t>
      </w:r>
    </w:p>
    <w:p>
      <w:pPr>
        <w:spacing w:after="0" w:line="1" w:lineRule="exact"/>
        <w:rPr>
          <w:rFonts w:ascii="Times New Roman" w:cs="Times New Roman" w:eastAsia="Times New Roman" w:hAnsi="Times New Roman"/>
          <w:sz w:val="16"/>
          <w:szCs w:val="16"/>
          <w:color w:val="auto"/>
        </w:rPr>
      </w:pPr>
    </w:p>
    <w:p>
      <w:pPr>
        <w:jc w:val="both"/>
        <w:ind w:left="500" w:hanging="492"/>
        <w:spacing w:after="0" w:line="198" w:lineRule="exact"/>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POP’s Transactional NAV, the Investment in the Aggregator includes an adjustment related to the Aggregator’s organizational expenses. These expenses will be recognized in the Transactional NAV calculation over a 60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period, beginning June 1, 2026. For more information, see the reconciliation of GAAP NAV to Transactional NAV below.</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breakdown of the Fund’s Transactional Net Asset Value per Unit by class as of March 31, 2026:</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40" w:type="dxa"/>
            <w:vAlign w:val="bottom"/>
          </w:tcPr>
          <w:p>
            <w:pPr>
              <w:spacing w:after="0"/>
              <w:rPr>
                <w:sz w:val="13"/>
                <w:szCs w:val="13"/>
                <w:color w:val="auto"/>
              </w:rPr>
            </w:pPr>
          </w:p>
        </w:tc>
        <w:tc>
          <w:tcPr>
            <w:tcW w:w="2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Transactional NAV per Unit</w:t>
            </w:r>
          </w:p>
        </w:tc>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400" w:type="dxa"/>
            <w:vAlign w:val="bottom"/>
          </w:tcPr>
          <w:p>
            <w:pPr>
              <w:spacing w:after="0"/>
              <w:rPr>
                <w:sz w:val="13"/>
                <w:szCs w:val="13"/>
                <w:color w:val="auto"/>
              </w:rPr>
            </w:pPr>
          </w:p>
        </w:tc>
        <w:tc>
          <w:tcPr>
            <w:tcW w:w="2380" w:type="dxa"/>
            <w:vAlign w:val="bottom"/>
          </w:tcPr>
          <w:p>
            <w:pPr>
              <w:jc w:val="right"/>
              <w:ind w:right="673"/>
              <w:spacing w:after="0" w:line="158" w:lineRule="exact"/>
              <w:rPr>
                <w:sz w:val="20"/>
                <w:szCs w:val="20"/>
                <w:color w:val="auto"/>
              </w:rPr>
            </w:pPr>
            <w:r>
              <w:rPr>
                <w:rFonts w:ascii="Times New Roman" w:cs="Times New Roman" w:eastAsia="Times New Roman" w:hAnsi="Times New Roman"/>
                <w:sz w:val="16"/>
                <w:szCs w:val="16"/>
                <w:b w:val="1"/>
                <w:bCs w:val="1"/>
                <w:color w:val="auto"/>
              </w:rPr>
              <w:t>Transactional NAV</w:t>
            </w:r>
          </w:p>
        </w:tc>
        <w:tc>
          <w:tcPr>
            <w:tcW w:w="0" w:type="dxa"/>
            <w:vAlign w:val="bottom"/>
          </w:tcPr>
          <w:p>
            <w:pPr>
              <w:spacing w:after="0"/>
              <w:rPr>
                <w:sz w:val="1"/>
                <w:szCs w:val="1"/>
                <w:color w:val="auto"/>
              </w:rPr>
            </w:pPr>
          </w:p>
        </w:tc>
      </w:tr>
      <w:tr>
        <w:trPr>
          <w:trHeight w:val="214"/>
        </w:trPr>
        <w:tc>
          <w:tcPr>
            <w:tcW w:w="2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28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0" w:type="dxa"/>
            <w:vAlign w:val="bottom"/>
          </w:tcPr>
          <w:p>
            <w:pPr>
              <w:spacing w:after="0"/>
              <w:rPr>
                <w:sz w:val="1"/>
                <w:szCs w:val="1"/>
                <w:color w:val="auto"/>
              </w:rPr>
            </w:pPr>
          </w:p>
        </w:tc>
      </w:tr>
      <w:tr>
        <w:trPr>
          <w:trHeight w:val="225"/>
        </w:trPr>
        <w:tc>
          <w:tcPr>
            <w:tcW w:w="2560" w:type="dxa"/>
            <w:vAlign w:val="bottom"/>
            <w:tcBorders>
              <w:top w:val="single" w:sz="8" w:color="auto"/>
            </w:tcBorders>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Class R-I</w:t>
            </w:r>
            <w:r>
              <w:rPr>
                <w:rFonts w:ascii="Times New Roman" w:cs="Times New Roman" w:eastAsia="Times New Roman" w:hAnsi="Times New Roman"/>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26,643,440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834,109</w:t>
            </w:r>
          </w:p>
        </w:tc>
        <w:tc>
          <w:tcPr>
            <w:tcW w:w="0" w:type="dxa"/>
            <w:vAlign w:val="bottom"/>
          </w:tcPr>
          <w:p>
            <w:pPr>
              <w:spacing w:after="0"/>
              <w:rPr>
                <w:sz w:val="1"/>
                <w:szCs w:val="1"/>
                <w:color w:val="auto"/>
              </w:rPr>
            </w:pPr>
          </w:p>
        </w:tc>
      </w:tr>
      <w:tr>
        <w:trPr>
          <w:trHeight w:val="229"/>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15,993,256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497,088</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R-D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Class F</w:t>
            </w: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44,204,363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1,381,560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500" w:right="20" w:hanging="492"/>
        <w:spacing w:after="0" w:line="280" w:lineRule="auto"/>
        <w:tabs>
          <w:tab w:leader="none" w:pos="49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Transactional NAV per Unit for Class R-I does not reflect Feeder TE specific expenses and other net assets and liabilities. In addition, it does not reflect Class F_TE units which are not subject to management fees or performance participation allocations.</w:t>
      </w:r>
    </w:p>
    <w:p>
      <w:pPr>
        <w:spacing w:after="0" w:line="160"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reconciles GAAP Net Asset Value to the Registrant’s Transactional Net Asset Value ($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Asset Value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5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Organization and Offering Expenses</w:t>
            </w:r>
            <w:r>
              <w:rPr>
                <w:rFonts w:ascii="Times New Roman" w:cs="Times New Roman" w:eastAsia="Times New Roman" w:hAnsi="Times New Roman"/>
                <w:sz w:val="23"/>
                <w:szCs w:val="23"/>
                <w:color w:val="auto"/>
                <w:vertAlign w:val="superscript"/>
              </w:rPr>
              <w:t>(a)</w:t>
            </w:r>
          </w:p>
        </w:tc>
        <w:tc>
          <w:tcPr>
            <w:tcW w:w="5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r>
      <w:tr>
        <w:trPr>
          <w:trHeight w:val="230"/>
        </w:trPr>
        <w:tc>
          <w:tcPr>
            <w:tcW w:w="8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Servicing Fees</w:t>
            </w:r>
            <w:r>
              <w:rPr>
                <w:rFonts w:ascii="Times New Roman" w:cs="Times New Roman" w:eastAsia="Times New Roman" w:hAnsi="Times New Roman"/>
                <w:sz w:val="23"/>
                <w:szCs w:val="23"/>
                <w:color w:val="auto"/>
                <w:vertAlign w:val="superscript"/>
              </w:rPr>
              <w:t>(b)</w:t>
            </w:r>
          </w:p>
        </w:tc>
        <w:tc>
          <w:tcPr>
            <w:tcW w:w="5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1,381,560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59" w:lineRule="exact"/>
        <w:rPr>
          <w:sz w:val="20"/>
          <w:szCs w:val="20"/>
          <w:color w:val="auto"/>
        </w:rPr>
      </w:pPr>
    </w:p>
    <w:p>
      <w:pPr>
        <w:jc w:val="both"/>
        <w:ind w:left="500" w:hanging="492"/>
        <w:spacing w:after="0" w:line="201" w:lineRule="exact"/>
        <w:tabs>
          <w:tab w:leader="none" w:pos="49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adjustment to (i) the Investment in T-POP US Aggregator (CYM) L.P. related to organizational expenses incurred by the Aggregator and (ii) the organizational and offering expenses of the Registrant. For Transactional NAV purposes, organizational and offering expenses are expensed ratably over the 60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month reimbursement period beginning June 2, 2026.</w:t>
      </w:r>
    </w:p>
    <w:p>
      <w:pPr>
        <w:spacing w:after="0" w:line="47"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adjustment to reflect servicing fees on Class R-S and Class R-D Units as they are accrued on a monthly basis.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off-balance sheet financings or liabilities other than contractual commitments incurred in the normal course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6. “Commitments and Contingencies” within the Notes to the Condensed Financial Statements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the financial statements in accordance with accounting principles generally accepted in the United States of America (“GAAP”) involves significant judgments and assumptions and requires estimates about matters that are inherently uncertain. These judgments affect our reported amounts of assets and liabilities and our disclosure of contingent assets and liabilities at the dates of the financial statements and the reported amounts of income and expenses during the reporting periods. With different estimates or assumptions, materially different amounts could be reported in our financial statements. The following is a summary of our significant accounting policies that we believe are the most affected by our judgments, estimates and assumptions.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investment companies under Financial Accounting Standards Board Accounting Standards Codification (“ASC”) Topic 946, Financial Services – Investment Companies (“ASC 946”), T-POP and the Aggregator are required to report investments, including those for which current market values are not readily available, at fair value in accordance with ASC 820, Fair Value Measurements (“ASC 820”). In general, ASC 820 defines fair value as the price that would be received to sell an asset or paid to transfer a liability in an orderly transaction between market participants at the measurement date (i.e., the exit price). ASC 820 also sets a framework for measuring fair value and requires the inclusion in financial statements of certain disclosures about fair value measurements.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Investments or Instruments that are Exchange Traded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Securities that are exchange traded and for which a quoted market exists are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may include legal restrictions limiting their purchase and sale for a period of time, such as may be required under SEC Rule 144. A discount to a publicly traded price may be appropriate in those cases where a legal restriction is a characteristic of the security. The amount of the discount, if taken, shall be determined based on the time period that must pass before the restricted security becomes unrestricted or otherwise available for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Investments or Instruments that are not Exchange Traded</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absence of observable market prices, the Fund values its investments using valuation methodologies applied on a consistent basis. For some investments little market activity may exist. The Fund’s determination of fair value is then based on the best information available and may incorporate management’s own assumptions and involve a significant degree of judgment, taking into consideration a combination of internal and external factors. The Fund considers the Fund’s recent purchase transaction value as a strong indicator of fair value and, as such, may continue to carry the investment at its transaction value for the first several reporting periods following the purchase of the investment, absent extraordinary factors. When the Fund determines the fair value, it updates the prior month-end valuation by incorporating latest available data, including values provided by external valuation firms, as well as any cash flow activity related to the investment during the month, updated quarterly financials, where applicable, and market movement.</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Fund’s methodology for determining the fair values of investments in operating companies is a combination of the income approach, market approach, or both. When utilizing the income approach, the Fund generally uses the discounted cash flow method, which relies on the Fund making significant assumptions around projections of future earnings or cash flows, discount rates, capitalization rate, or exit multiple. When utilizing the market approach, the Fund relies upon valuations for comparable public companies, transactions or assets, and thus requires that the Fund uses discretion to identify comparable companies, transactions and assets.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 Fund may, but is not obligated to, monitor the Fund’s Equity Investments on an ongoing basis for events that the Fund believes may have a material impact on the Fund’s NAV as a whole. Material events may include investment-specific events or broader market-driven events that may impact more than one specific investment. Upon the occurrence of such a material event and provided that the Fund is aware that such event has occurred, the Fund may, but is not obligated to, provide an estimate of the change in value of the Equity Investment, based on the valuation procedures described herein. In general, the Fund expects that any adjustments to fair values will be calculated promptly after a determination that a material change has occurred and the financial effects of such change are quantifiable. However, rapidly changing market conditions or material events may not be immediately reflected in the monthly NAV.</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Fund Investments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Investments in affiliated or unaffiliated investee funds (“Investee Funds”) are generally valued using the reported net asset value (“NAV” or “Net Asset Value”) of the Investee Funds as a practical expedient for fair value. The Fund may, as a practical expedient, estimate the fair value of an Investee Fund based on NAV if the reported NAV of the Investee Fund is calculated in a manner consistent with the measurement principles applied to investment companies and T-POP has internal processes to independently evaluate the fair value measurement process utilized by the underlying Investee Fund to calculate the Investee Fund’s NAV, both of which are in accordance with ASC 946. Such internal processes include the evaluation of the Investee Fund’s own process and related internal controls in place to estimate the fair value of its underlying investments that are included in the NAV calculation, performing ongoing operational due diligence, review of the Investee Fund’s financial statements and ongoing monitoring of other relevant qualitative and quantitative factors. If T-POP determines, based on its own due diligence and investment monitoring procedures, that NAV does not represent fair value or if the investee fund is not an investment company, T-POP will estimate the fair value in good faith and in a manner that it reasonably chooses, in accordance with its valuation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Securities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fair values of certain debt positions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Fund generally determines fair value by comparing against similar investments. The Fund reviews and analyzes prices obtained from external pricing sources to evaluate their reliability and accuracy, and at times, exclude vendor prices and broker quotations that the Fund does not believe are representative of fair value. Certain financial instruments may not trade or prices are not readily available, or trade infrequently and, when they are traded, the price may be unobservable and, as a result, multiple external pricing sources may not be available. In such instances, the Fund may use an internal pricing model as either a corroborating or sole data point in determining the price. The Fund generally engages specialized third-party valuation service providers to assess and corroborate the valuation of a selection of the investments on a periodic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Process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Fund follows established procedures each month in conducting valuations of the Fund’s investments. The rigor of its procedures is intended to ensure consistent application across investments of U.S. GAAP and its valuation policies. There are three key groups of the Fund professionals engaged in the valuation process. For example, the monthly, quarterly, and annual valuation processes are facilitated and managed by the Fund “Valuation Team” with significant participation from the respective investment-specific “Deal Team” and the Fund’s “Global Valuation Committee” and the respective “Subcommittee” (collectively, the “Valuation Committees”). The following describes the responsibilities of the various parties involved in valuation determinations for Equity Investments:</w:t>
      </w:r>
    </w:p>
    <w:p>
      <w:pPr>
        <w:spacing w:after="0" w:line="187" w:lineRule="exact"/>
        <w:rPr>
          <w:sz w:val="20"/>
          <w:szCs w:val="20"/>
          <w:color w:val="auto"/>
        </w:rPr>
      </w:pPr>
    </w:p>
    <w:p>
      <w:pPr>
        <w:jc w:val="both"/>
        <w:ind w:left="9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investment-specific Deal Team which is charged generally with monitoring the relevant portfolio company, preparing the valuation analysis, making an initial valuation recommendation to the Fund’s Valuation Team and amending the valuation based on the input from the other participants in the valuation process.</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Valuation Team, together with an external valuation firm, initiates and manages the valuation process by sending standardized valuation templates and/or valuation surveys to deal teams, review each proposed quarterly valuation for completeness and consistency across periods and the Fund’s portfolio, providing feedback and analysis to the investment-specific Deal Team and the Valuation Committees where appropriate, and administer its valuation policy generally.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980" w:hanging="486"/>
        <w:spacing w:after="0" w:line="258"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Committees reviews a majority of proposed Fund valuations, including the valuation methodology underlying each investment, suggest changes when warranted and give the final approval on all Fund valuations. Each subcommittee comprises senior product and TPG leadership. The valuations are aggregated and significant matters are presented for final approval by the Fund’s global valuation committee, which comprises senior employees. The Valuation Committees also establish a valuation policy and help ensure its consistent application together with the valuation team.</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describes the responsibilities of the various parties involved in valuation determinations for Debt and Other Securities:</w:t>
      </w:r>
    </w:p>
    <w:p>
      <w:pPr>
        <w:spacing w:after="0" w:line="225" w:lineRule="exact"/>
        <w:rPr>
          <w:sz w:val="20"/>
          <w:szCs w:val="20"/>
          <w:color w:val="auto"/>
        </w:rPr>
      </w:pPr>
    </w:p>
    <w:p>
      <w:pPr>
        <w:ind w:left="980" w:right="20" w:hanging="486"/>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investment-specific Deal Team which is charged generally with reviewing policy prices in order to determine if such price is consistent with information currently available to them in the marketplace, and providing an override price if applicable.</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Valuation Team collects, reviews, and analyzes external pricing data before providing a “policy price” to the Deal Team. As part of its analysis, the Fund’s Valuation Team establishes reasonable procedures for testing the reliability and accuracy of the external pricing data it receives. If applicable, the Valuation Team determines whether an override is appropriate, and the group has the authority to accept or reject an override.</w:t>
      </w:r>
    </w:p>
    <w:p>
      <w:pPr>
        <w:spacing w:after="0" w:line="1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Committees oversee the valuation process and reviews and approves any exceptions. Each Sub Committee comprises senior product and TPG leadership. The valuations are aggregated and significant matters are presented for final approval by the Fund’s Global Valuation Committee, which comprises senior employees. The Valuation Committees also establish a valuation policy and help ensure its consistent application together with the Valuation Team.</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Fund also engages independent third parties to review its periodic valuations, as well as advise on valuation policy more generally. When making fair value determinations for assets that do not have a reliable, readily available market price, the Fund engages one or more independent valuation firms to perform certain procedures to assess if its fair value estimates are reasonable as of the relevant measurement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Fees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Dealer Manager Agreement entered into between T-POP, the Feeder TE and TPG Capital BD, LLC (the “Dealer Manager”), T-POP or its affiliates will pay to the Dealer Manager a Servicing Fee in the amount of (a) 0.85% per annum of the aggregate NAV for the Class S Units and Class R-S Units as of the last day of each month and (b) 0.25% per annum of the aggregate NAV for the Class D Units and Class R-D Units as of the last day of each month, in each case, payable monthly. T-POP or its affiliates will not pay to the Dealer Manager a Servicing Fee in respect of the purchase of any Class I Units, Class R-I Units and Class F Units. In calculating the Servicing Fee, the T-POP will use its NAV before giving effect to any accruals for the Servicing Fee, repurchases for that month, if any, and distributions payable on the T-POP Units.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GAAP, T-POP accrues the cost of the Servicing Fees, as applicable, for the estimated life of the Units at the time we sell Class S Units, Class R-S Units, Class D Units, and Class R-D Units. Inherent in the calculation of the estimated amount of Servicing Fees to be paid in future periods are certain significant management judgments and estimates, including the estimated life of the Units at the time of a subscription. Servicing Fees Payable entails uncertainties as the calculation requires management to make assumptions and to apply judgment regarding a number of factors, including market conditions, the selling environment and historical trends. As of March 31, 2026, T-POP has accrued $13.1 million of Servicing Fees Payable, related to the Class R-S and Class R-D Units sold.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T-POP and the Aggregator are investment companies under ASC 946. T-POP and the Aggregator will not consolidate an investee unless T-POP or the Aggregator has controlling financial interest in (a) an investment company or (b) an operating company whose business consists of providing services to T-POP or the Aggregator. There is inherent judgment in how to apply ASC Topic 810, Consolidation (“ASC 810”), to instances where an investment company invests in another investment company as generally investment companies do not consolidate their investments and rather report them at fair value. Additionally, T-POP and the Aggregator exercise judgment when determining whether it has a controlling financial interest in an investee, including considering factors such as an investee's purpose and design and whether the General Partner directs activities that most significantly impact an investee's economic performance.</w:t>
      </w:r>
    </w:p>
    <w:p>
      <w:pPr>
        <w:spacing w:after="0" w:line="18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From June 2, 2025 (Commencement of Operations) through September 30, 2025, T-POP consolidated the accounts of the Aggregator and its subsidiaries as T-POP had a controlling financial interest. On October 1, 2025, the Aggregator received additional capital contributions from a Parallel Investment Entity. As a result, T-POP determined that it no longer holds a controlling financial interest in the Aggregator. Accordingly, beginning on October 1, 2025, T-POP deconsolidated the Aggregator and measured its investment in the Aggregator at fair value, using the Aggregator’s reported NAV as a practical expedient. The deconsolidation did not have a material impact on T-POP’s financial position, ongoing operations, or cash flows. T-POP considered the guidance in ASC 810, ASC 946 and certain SEC industry guidance in concluding that non-consolidation of the Aggregator by T-POP was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accounting pronouncements issued during the three months ended March 31, 2026 that are expected to have a material impact on the Condensed Financial Statements of T-POP and the Condensed Consolidated Financial Statements of the Aggregator included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Fund is subject to financial market risks, including changes in interest rates. The Fund plans to invest primarily in Equity Investments. Most of the Fund’s investments do not have a readily available market price, and the Fund values these investments at fair value as determined in good faith pursuant to procedures adopted by, and under the oversight of, the Board in accordance with the Fund’s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the Fund makes. See “Item 9. Market Price of and Dividends on the Registrant’s Common Equity and Related Limited Partner Matters—Calculation of Net Asset Value” in our Form 10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T-POP and the Aggregator indirectly hold investments in portfolio companies that are reported at fair value. Determining fair value requires that judgment be applied to the specific facts and circumstances of each portfolio investment while employing a consistently applied valuation process for the types of investments made by T-POP. Net changes in the fair value of portfolio companies held through the seven investment holding investments impact the Aggregator’s Net Change in Unrealized Gain (Loss) on Investments and in turn impact the Registrant’s Net Change in Unrealized Gain (Loss) on Investments. Based on investments held as of March 31, 2026, we estimate that an immediate, hypothetical 10% decline in the fair value of investments would result in a decline in the Net Realized and Unrealized Gain (Loss) on Investments of the Aggregator of $153.3 million and a decline in the Registrant’s Net Change in Unrealized Gain (Loss) on Investments of $137.4 million, if not offset by other factors.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Aggregator holds investments that are denominated in non-U.S. dollar currencies that may be affected by movements in the rate of exchange between the U.S. dollar and non-U.S. dollar currencies. The Aggregator manages exposure to investments in foreign currencies by hedging such risks. As of March 31, 2026, the Aggregator held an investment in an affiliated investee fund that held foreign currency contracts to hedge a change in exchange rates against the U.S. dollar. We estimate that as of March 31, 2026, a 10% decline in the exchange rates between the U.S. dollar and all other foreign currencies in which certain portfolio companies are denominated would result in a decline in Net Realized and Unrealized Gain (Loss) on Investments of the Aggregator of $42.7 million and a decline in the Registrant’s Net Change in Unrealized Gain (Loss) on Investments of $33.7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Changes in credit markets and in particular, interest rates, can impact investment valuations and may have offsetting results depending on the valuation methodology used. For example, we may use a discounted cash flow analysis as one of the methodologies to ascertain the fair value of our portfolio companies that do not have readily observable market prices. If applicable interest rates rise, then the assumed cost of capital for those portfolio companies would be expected to increase under the discounted cash flow analysis, and this effect would negatively impact their valuations if not offset by other factors. Conversely, a fall in interest rates can positively impact valuations of certain portfolio companies if not offset by other factors. These impacts could be substantial depending upon the magnitude of the change in interest rates. Finally, low interest rates related to monetary stimulus and economic stagnation may also negatively impact expected returns on all investments, as the demand for relatively higher return assets increases and supply decreases. Additionally, with respect to our business operations, general increases in interest rates over time may cause the interest expense associated with our borrowings to increase and the value of our fixed income investments to decline. Conversely, general decreases in interest rates over time may cause the interest expense associated with our borrowings to decrease, and the value of our fixed income investments to increase. As of March 31, 2026, T-POP does not have any outstanding borrowings.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the Registrant’s reports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183"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Neither the Registrant, the General Partner nor the Management Company are currently subject to any pending material legal proceedings against the Registrant, the General Partner or the Management Company. From time to time, the Registrant, the General Partner or the Management Company may be a party to certain legal proceedings in the ordinary course of business, including proceedings relating to the enforcement of the Registrant’s rights under contracts with the Registrant’s portfolio companies. The Registrant may also be subject to regulatory proceedings. See Note 6. “Commitments and Contingencies” in our Condensed Financial Statements included in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“Item 1A.––Risk Factors” in our Annual Report on Form 10-K for the year ended December 31, 2025. Additional risks and uncertainties not currently known to us or that we currently deem to be immaterial also may materially adversely affect our business, financial condition and/or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sales of unregistered securities during the three months ended March 31, 2026 were previously disclosed.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Redemptions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regarding redemptions of Units during the three months ended March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units</w:t>
            </w: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that may yet</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 number of units</w:t>
            </w:r>
          </w:p>
        </w:tc>
        <w:tc>
          <w:tcPr>
            <w:tcW w:w="120" w:type="dxa"/>
            <w:vAlign w:val="bottom"/>
          </w:tcPr>
          <w:p>
            <w:pPr>
              <w:spacing w:after="0"/>
              <w:rPr>
                <w:sz w:val="14"/>
                <w:szCs w:val="14"/>
                <w:color w:val="auto"/>
              </w:rPr>
            </w:pPr>
          </w:p>
        </w:tc>
        <w:tc>
          <w:tcPr>
            <w:tcW w:w="1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 purchased under</w:t>
            </w:r>
          </w:p>
        </w:tc>
        <w:tc>
          <w:tcPr>
            <w:tcW w:w="0" w:type="dxa"/>
            <w:vAlign w:val="bottom"/>
          </w:tcPr>
          <w:p>
            <w:pPr>
              <w:spacing w:after="0"/>
              <w:rPr>
                <w:sz w:val="1"/>
                <w:szCs w:val="1"/>
                <w:color w:val="auto"/>
              </w:rPr>
            </w:pPr>
          </w:p>
        </w:tc>
      </w:tr>
      <w:tr>
        <w:trPr>
          <w:trHeight w:val="162"/>
        </w:trPr>
        <w:tc>
          <w:tcPr>
            <w:tcW w:w="35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Redemption Period</w:t>
            </w:r>
            <w:r>
              <w:rPr>
                <w:rFonts w:ascii="Times New Roman" w:cs="Times New Roman" w:eastAsia="Times New Roman" w:hAnsi="Times New Roman"/>
                <w:sz w:val="21"/>
                <w:szCs w:val="21"/>
                <w:b w:val="1"/>
                <w:bCs w:val="1"/>
                <w:color w:val="auto"/>
                <w:vertAlign w:val="superscript"/>
              </w:rPr>
              <w:t>(1)</w:t>
            </w:r>
          </w:p>
        </w:tc>
        <w:tc>
          <w:tcPr>
            <w:tcW w:w="1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plans or programs (all</w:t>
            </w: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 (all</w:t>
            </w:r>
          </w:p>
        </w:tc>
        <w:tc>
          <w:tcPr>
            <w:tcW w:w="0" w:type="dxa"/>
            <w:vAlign w:val="bottom"/>
          </w:tcPr>
          <w:p>
            <w:pPr>
              <w:spacing w:after="0"/>
              <w:rPr>
                <w:sz w:val="1"/>
                <w:szCs w:val="1"/>
                <w:color w:val="auto"/>
              </w:rPr>
            </w:pPr>
          </w:p>
        </w:tc>
      </w:tr>
      <w:tr>
        <w:trPr>
          <w:trHeight w:val="216"/>
        </w:trPr>
        <w:tc>
          <w:tcPr>
            <w:tcW w:w="3500" w:type="dxa"/>
            <w:vAlign w:val="bottom"/>
            <w:gridSpan w:val="2"/>
            <w:vMerge w:val="continue"/>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purchased (all classes)</w:t>
            </w:r>
          </w:p>
        </w:tc>
        <w:tc>
          <w:tcPr>
            <w:tcW w:w="120" w:type="dxa"/>
            <w:vAlign w:val="bottom"/>
          </w:tcPr>
          <w:p>
            <w:pPr>
              <w:spacing w:after="0"/>
              <w:rPr>
                <w:sz w:val="18"/>
                <w:szCs w:val="18"/>
                <w:color w:val="auto"/>
              </w:rPr>
            </w:pPr>
          </w:p>
        </w:tc>
        <w:tc>
          <w:tcPr>
            <w:tcW w:w="184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7"/>
              </w:rPr>
              <w:t>unit (all classes)</w:t>
            </w:r>
            <w:r>
              <w:rPr>
                <w:rFonts w:ascii="Times New Roman" w:cs="Times New Roman" w:eastAsia="Times New Roman" w:hAnsi="Times New Roman"/>
                <w:sz w:val="21"/>
                <w:szCs w:val="21"/>
                <w:b w:val="1"/>
                <w:bCs w:val="1"/>
                <w:color w:val="auto"/>
                <w:w w:val="97"/>
                <w:vertAlign w:val="superscript"/>
              </w:rPr>
              <w:t>(2)</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classes)</w:t>
            </w:r>
          </w:p>
        </w:tc>
        <w:tc>
          <w:tcPr>
            <w:tcW w:w="18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classes)</w:t>
            </w:r>
            <w:r>
              <w:rPr>
                <w:rFonts w:ascii="Times New Roman" w:cs="Times New Roman" w:eastAsia="Times New Roman" w:hAnsi="Times New Roman"/>
                <w:sz w:val="21"/>
                <w:szCs w:val="21"/>
                <w:b w:val="1"/>
                <w:bCs w:val="1"/>
                <w:color w:val="auto"/>
                <w:w w:val="92"/>
                <w:vertAlign w:val="superscript"/>
              </w:rPr>
              <w:t>(3)</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51"/>
        </w:trPr>
        <w:tc>
          <w:tcPr>
            <w:tcW w:w="3400" w:type="dxa"/>
            <w:vAlign w:val="bottom"/>
          </w:tcPr>
          <w:p>
            <w:pPr>
              <w:jc w:val="right"/>
              <w:ind w:right="1953"/>
              <w:spacing w:after="0"/>
              <w:rPr>
                <w:sz w:val="20"/>
                <w:szCs w:val="20"/>
                <w:color w:val="auto"/>
              </w:rPr>
            </w:pPr>
            <w:r>
              <w:rPr>
                <w:rFonts w:ascii="Times New Roman" w:cs="Times New Roman" w:eastAsia="Times New Roman" w:hAnsi="Times New Roman"/>
                <w:sz w:val="18"/>
                <w:szCs w:val="18"/>
                <w:color w:val="auto"/>
                <w:w w:val="99"/>
              </w:rPr>
              <w:t>_______________</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Redemptions were effective as of March 31, 2026.</w:t>
      </w:r>
    </w:p>
    <w:p>
      <w:pPr>
        <w:spacing w:after="0" w:line="2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Paid per Unit reflects the 5% early redemption deduction, as applicable.</w:t>
      </w:r>
    </w:p>
    <w:p>
      <w:pPr>
        <w:spacing w:after="0" w:line="1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redemption requests were satisfied in full.</w:t>
      </w:r>
    </w:p>
    <w:p>
      <w:pPr>
        <w:spacing w:after="0" w:line="23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redemption program, including a breakdown by class, see Note 4. “Net Assets — Redemption Program” within the Notes to the Registrant’s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2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50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620" w:type="dxa"/>
            <w:vAlign w:val="bottom"/>
            <w:tcBorders>
              <w:top w:val="single" w:sz="8" w:color="auto"/>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9480" w:type="dxa"/>
            <w:vAlign w:val="bottom"/>
            <w:tcBorders>
              <w:top w:val="single" w:sz="8" w:color="auto"/>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Certificate of Limited Partnership (incorporated by reference to Exhibit 3.2 to the Fund’s Registration Statement on Form 10 filed</w:t>
              </w:r>
            </w:hyperlink>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6"/>
        </w:trPr>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on December 30, 2024).</w:t>
              </w:r>
            </w:hyperlink>
          </w:p>
        </w:tc>
      </w:tr>
      <w:tr>
        <w:trPr>
          <w:trHeight w:val="48"/>
        </w:trPr>
        <w:tc>
          <w:tcPr>
            <w:tcW w:w="1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00" w:type="dxa"/>
            <w:vAlign w:val="bottom"/>
            <w:gridSpan w:val="10"/>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Amended and Restated Limited Partnership Agreement, dated as of June 2, 2025 (incorporated by reference to Exhibit 3.1 to the</w:t>
              </w:r>
            </w:hyperlink>
          </w:p>
        </w:tc>
      </w:tr>
      <w:tr>
        <w:trPr>
          <w:trHeight w:val="183"/>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Fund’s Current Report on Form 8-K, filed on June 6,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8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0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Distribution Reinvestment Plan (incorporated by reference to Exhibit 4.1 to Amendment No. 1 to the Fund’s Registration</w:t>
              </w:r>
            </w:hyperlink>
          </w:p>
        </w:tc>
      </w:tr>
      <w:tr>
        <w:trPr>
          <w:trHeight w:val="243"/>
        </w:trPr>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80" w:type="dxa"/>
            <w:vAlign w:val="bottom"/>
            <w:tcBorders>
              <w:top w:val="single" w:sz="8" w:color="0000FF"/>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Statement on Form 10 filed on February 19, 2025).</w:t>
              </w:r>
            </w:hyperlink>
          </w:p>
        </w:tc>
        <w:tc>
          <w:tcPr>
            <w:tcW w:w="580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48"/>
        </w:trPr>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320" w:type="dxa"/>
            <w:vAlign w:val="bottom"/>
            <w:tcBorders>
              <w:bottom w:val="single" w:sz="8" w:color="CCEEFF"/>
            </w:tcBorders>
            <w:gridSpan w:val="6"/>
            <w:shd w:val="clear" w:color="auto" w:fill="CCEEFF"/>
          </w:tcPr>
          <w:p>
            <w:pPr>
              <w:spacing w:after="0"/>
              <w:rPr>
                <w:sz w:val="21"/>
                <w:szCs w:val="21"/>
                <w:color w:val="auto"/>
              </w:rPr>
            </w:pPr>
          </w:p>
        </w:tc>
      </w:tr>
      <w:tr>
        <w:trPr>
          <w:trHeight w:val="202"/>
        </w:trPr>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of Periodic Financial Reports pursuant to Section 906 of the Sarbanes-Oxley Act of 2002.</w:t>
            </w:r>
          </w:p>
        </w:tc>
      </w:tr>
      <w:tr>
        <w:trPr>
          <w:trHeight w:val="48"/>
        </w:trPr>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340" w:type="dxa"/>
            <w:vAlign w:val="bottom"/>
            <w:tcBorders>
              <w:bottom w:val="single" w:sz="8" w:color="0000FF"/>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Financial Officer of Periodic Financial Reports pursuant to Section 906 of the Sarbanes-Oxley Act of 2002.</w:t>
            </w:r>
          </w:p>
        </w:tc>
        <w:tc>
          <w:tcPr>
            <w:tcW w:w="160" w:type="dxa"/>
            <w:vAlign w:val="bottom"/>
            <w:tcBorders>
              <w:bottom w:val="single" w:sz="8" w:color="CCEEFF"/>
            </w:tcBorders>
            <w:gridSpan w:val="4"/>
            <w:shd w:val="clear" w:color="auto" w:fill="CCEEFF"/>
          </w:tcPr>
          <w:p>
            <w:pPr>
              <w:spacing w:after="0"/>
              <w:rPr>
                <w:sz w:val="21"/>
                <w:szCs w:val="21"/>
                <w:color w:val="auto"/>
              </w:rPr>
            </w:pPr>
          </w:p>
        </w:tc>
      </w:tr>
      <w:tr>
        <w:trPr>
          <w:trHeight w:val="198"/>
        </w:trPr>
        <w:tc>
          <w:tcPr>
            <w:tcW w:w="1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7"/>
                <w:szCs w:val="17"/>
                <w:color w:val="auto"/>
              </w:rPr>
            </w:pPr>
          </w:p>
        </w:tc>
        <w:tc>
          <w:tcPr>
            <w:tcW w:w="950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Borders>
              <w:bottom w:val="single" w:sz="8" w:color="CCEEFF"/>
            </w:tcBorders>
            <w:shd w:val="clear" w:color="auto" w:fill="CCEEFF"/>
          </w:tcPr>
          <w:p>
            <w:pPr>
              <w:spacing w:after="0"/>
              <w:rPr>
                <w:sz w:val="20"/>
                <w:szCs w:val="20"/>
                <w:color w:val="auto"/>
              </w:rPr>
            </w:pPr>
          </w:p>
        </w:tc>
        <w:tc>
          <w:tcPr>
            <w:tcW w:w="950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Borders>
              <w:bottom w:val="single" w:sz="8" w:color="CCEEFF"/>
            </w:tcBorders>
            <w:shd w:val="clear" w:color="auto" w:fill="CCEEFF"/>
          </w:tcPr>
          <w:p>
            <w:pPr>
              <w:spacing w:after="0"/>
              <w:rPr>
                <w:sz w:val="20"/>
                <w:szCs w:val="20"/>
                <w:color w:val="auto"/>
              </w:rPr>
            </w:pPr>
          </w:p>
        </w:tc>
        <w:tc>
          <w:tcPr>
            <w:tcW w:w="950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Borders>
              <w:bottom w:val="single" w:sz="8" w:color="CCEEFF"/>
            </w:tcBorders>
            <w:shd w:val="clear" w:color="auto" w:fill="CCEEFF"/>
          </w:tcPr>
          <w:p>
            <w:pPr>
              <w:spacing w:after="0"/>
              <w:rPr>
                <w:sz w:val="20"/>
                <w:szCs w:val="20"/>
                <w:color w:val="auto"/>
              </w:rPr>
            </w:pPr>
          </w:p>
        </w:tc>
        <w:tc>
          <w:tcPr>
            <w:tcW w:w="950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8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tc>
      </w:tr>
      <w:tr>
        <w:trPr>
          <w:trHeight w:val="50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13, 2026</w:t>
            </w:r>
          </w:p>
        </w:tc>
        <w:tc>
          <w:tcPr>
            <w:tcW w:w="27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Jack Weingart</w:t>
            </w:r>
          </w:p>
        </w:tc>
      </w:tr>
      <w:tr>
        <w:trPr>
          <w:trHeight w:val="218"/>
        </w:trPr>
        <w:tc>
          <w:tcPr>
            <w:tcW w:w="3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Jack Weingart</w:t>
            </w:r>
          </w:p>
        </w:tc>
      </w:tr>
      <w:tr>
        <w:trPr>
          <w:trHeight w:val="234"/>
        </w:trPr>
        <w:tc>
          <w:tcPr>
            <w:tcW w:w="3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tc>
      </w:tr>
      <w:tr>
        <w:trPr>
          <w:trHeight w:val="648"/>
        </w:trPr>
        <w:tc>
          <w:tcPr>
            <w:tcW w:w="3340" w:type="dxa"/>
            <w:vAlign w:val="bottom"/>
          </w:tcPr>
          <w:p>
            <w:pPr>
              <w:spacing w:after="0"/>
              <w:rPr>
                <w:sz w:val="24"/>
                <w:szCs w:val="24"/>
                <w:color w:val="auto"/>
              </w:rPr>
            </w:pPr>
          </w:p>
        </w:tc>
        <w:tc>
          <w:tcPr>
            <w:tcW w:w="27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White</w:t>
            </w:r>
          </w:p>
        </w:tc>
      </w:tr>
      <w:tr>
        <w:trPr>
          <w:trHeight w:val="228"/>
        </w:trPr>
        <w:tc>
          <w:tcPr>
            <w:tcW w:w="33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Matt White</w:t>
            </w:r>
          </w:p>
        </w:tc>
      </w:tr>
    </w:tbl>
    <w:p>
      <w:pPr>
        <w:ind w:left="6140"/>
        <w:spacing w:after="0" w:line="215" w:lineRule="auto"/>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ind w:left="614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4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Weingart, certify that:</w:t>
      </w:r>
    </w:p>
    <w:p>
      <w:pPr>
        <w:spacing w:after="0" w:line="198" w:lineRule="exact"/>
        <w:rPr>
          <w:sz w:val="20"/>
          <w:szCs w:val="20"/>
          <w:color w:val="auto"/>
        </w:rPr>
      </w:pPr>
    </w:p>
    <w:p>
      <w:pPr>
        <w:ind w:left="660" w:righ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TPG Private Equity Opportunities, L.P. (the “registrant”);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38"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White, certify that:</w:t>
      </w:r>
    </w:p>
    <w:p>
      <w:pPr>
        <w:spacing w:after="0" w:line="198" w:lineRule="exact"/>
        <w:rPr>
          <w:sz w:val="20"/>
          <w:szCs w:val="20"/>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TPG Private Equity Opportunities, L.P. (the “registrant”);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Matt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Matt White</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238"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Private Equity Opportunities, L.P. (the “Company”) for the quarter ended March 31, 2026 as filed with the Securities and Exchange Commission on the date hereof (the “Report”), I, Jack Weingart,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0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ind w:left="394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Private Equity Opportunities, L.P. (the “Company”) for the quarter ended March 31, 2026 as filed with the Securities and Exchange Commission on the date hereof (the “Report”), I, Matt White,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Matt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Matt White</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lvl w:ilvl="1">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decimal"/>
      <w:start w:val="452"/>
    </w:lvl>
  </w:abstractNum>
  <w:abstractNum w:abstractNumId="20">
    <w:nsid w:val="54E49EB4"/>
    <w:multiLevelType w:val="hybridMultilevel"/>
    <w:lvl w:ilvl="0">
      <w:lvlJc w:val="left"/>
      <w:lvlText w:val="(%1)"/>
      <w:numFmt w:val="decimal"/>
      <w:start w:val="295"/>
    </w:lvl>
  </w:abstractNum>
  <w:abstractNum w:abstractNumId="21">
    <w:nsid w:val="71F32454"/>
    <w:multiLevelType w:val="hybridMultilevel"/>
    <w:lvl w:ilvl="0">
      <w:lvlJc w:val="left"/>
      <w:lvlText w:val="(%1)"/>
      <w:numFmt w:val="lowerLetter"/>
      <w:start w:val="3"/>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0" Type="http://schemas.openxmlformats.org/officeDocument/2006/relationships/hyperlink" Target="https://www.sec.gov/Archives/edgar/data/2050260/000205026024000004/exhibit32-lpcertificate.htm" TargetMode="External"/><Relationship Id="rId151" Type="http://schemas.openxmlformats.org/officeDocument/2006/relationships/hyperlink" Target="https://www.sec.gov/Archives/edgar/data/2050260/000205026025000059/exhibit31-arlpa.htm" TargetMode="External"/><Relationship Id="rId152" Type="http://schemas.openxmlformats.org/officeDocument/2006/relationships/hyperlink" Target="https://www.sec.gov/Archives/edgar/data/2050260/000205026025000008/exhibit41-dri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2026-05-13T16:17:27Z</dcterms:created>
  <dcterms:modified xsi:type="dcterms:W3CDTF">2026-05-13T16:17:27Z</dcterms:modified>
</cp:coreProperties>
</file>