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000-56717</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99-4755034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63" w:lineRule="exact"/>
        <w:rPr>
          <w:sz w:val="24"/>
          <w:szCs w:val="24"/>
          <w:color w:val="auto"/>
        </w:rPr>
      </w:pPr>
    </w:p>
    <w:p>
      <w:pPr>
        <w:jc w:val="both"/>
        <w:ind w:left="760" w:firstLine="38"/>
        <w:spacing w:after="0" w:line="312"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80"/>
        <w:spacing w:after="0"/>
        <w:tabs>
          <w:tab w:leader="none" w:pos="29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pacing w:after="0" w:line="1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45"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0" w:lineRule="exact"/>
        <w:rPr>
          <w:sz w:val="24"/>
          <w:szCs w:val="24"/>
          <w:color w:val="auto"/>
        </w:rPr>
      </w:pPr>
    </w:p>
    <w:p>
      <w:pPr>
        <w:sectPr>
          <w:pgSz w:w="11900" w:h="16838" w:orient="portrait"/>
          <w:cols w:equalWidth="0" w:num="2">
            <w:col w:w="2920" w:space="500"/>
            <w:col w:w="7820"/>
          </w:cols>
          <w:pgMar w:left="320" w:top="1191" w:right="339" w:bottom="1440" w:gutter="0" w:footer="0" w:header="0"/>
          <w:type w:val="continuous"/>
        </w:sectPr>
      </w:pPr>
    </w:p>
    <w:p>
      <w:pPr>
        <w:spacing w:after="0" w:line="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None</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25" w:lineRule="exact"/>
        <w:rPr>
          <w:sz w:val="24"/>
          <w:szCs w:val="24"/>
          <w:color w:val="auto"/>
        </w:rPr>
      </w:pPr>
    </w:p>
    <w:p>
      <w:pPr>
        <w:ind w:right="22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January 1, 2026, TPG Private Equity Opportunities, L.P., a Delaware limited partnership (the “Fund” or “T-POP”), sold unregistered limited partnership units (the “Units”) of the Fund as part of its continuous private offering for aggregate consideration of $90.3 million. The following table details the Units sold: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76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3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45,567,900</w:t>
            </w:r>
          </w:p>
        </w:tc>
      </w:tr>
      <w:tr>
        <w:trPr>
          <w:trHeight w:val="24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1,189,720</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36,438,000</w:t>
            </w:r>
          </w:p>
        </w:tc>
      </w:tr>
      <w:tr>
        <w:trPr>
          <w:trHeight w:val="41"/>
        </w:trPr>
        <w:tc>
          <w:tcPr>
            <w:tcW w:w="3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140" w:type="dxa"/>
            <w:vAlign w:val="bottom"/>
          </w:tcPr>
          <w:p>
            <w:pPr>
              <w:spacing w:after="0"/>
              <w:rPr>
                <w:sz w:val="3"/>
                <w:szCs w:val="3"/>
                <w:color w:val="auto"/>
              </w:rPr>
            </w:pPr>
          </w:p>
        </w:tc>
      </w:tr>
      <w:tr>
        <w:trPr>
          <w:trHeight w:val="28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F </w:t>
            </w:r>
            <w:r>
              <w:rPr>
                <w:rFonts w:ascii="Times New Roman" w:cs="Times New Roman" w:eastAsia="Times New Roman" w:hAnsi="Times New Roman"/>
                <w:sz w:val="23"/>
                <w:szCs w:val="23"/>
                <w:color w:val="auto"/>
                <w:vertAlign w:val="superscript"/>
              </w:rPr>
              <w:t>(a)</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8,334,943</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Class F Units purchased by TPG Private Equity Opportunities GenPar, L.P. (the “General Partner”).</w:t>
      </w:r>
    </w:p>
    <w:p>
      <w:pPr>
        <w:spacing w:after="0" w:line="2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all or substantially all of its assets indirectly in the Fund’s Class R-I Units. Feeder TE issued to third party investors 737,583 of Class R-S_TE and 201,006 of Class R-I_TE, which are included in the Class R-I Units presented in the table above.</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Fund, alongside certain parallel investment entities, invest substantially all of their assets in T-POP US Aggregator (CYM), L.P. (the “Aggregator”, and collectively with the Fund, Feeder TE and such parallel investment entities, the “T-POP Fund Complex”). On January 1, 2026, the T-POP Fund Complex (inclusive of the Fund) issued interests for aggregate consideration of approximately $99.0 million.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9. Market Price of and Dividends on the Registrant’s Common Equity and Related Limited Partner Matters of the Fund’s Amendment No. 1 to the Registration Statement on Form 10, filed with the Securities and Exchange Commission on February 19, 2025.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The following table provides a breakdown of the major components of the Fund’s Transactional Net Asset Value as of December 31, 2025 ($ in thousands):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220" w:type="dxa"/>
            <w:vAlign w:val="bottom"/>
          </w:tcPr>
          <w:p>
            <w:pPr>
              <w:spacing w:after="0"/>
              <w:rPr>
                <w:sz w:val="18"/>
                <w:szCs w:val="18"/>
                <w:color w:val="auto"/>
              </w:rPr>
            </w:pPr>
          </w:p>
        </w:tc>
        <w:tc>
          <w:tcPr>
            <w:tcW w:w="1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9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the Aggregator (cost of $894,810)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1,056,018</w:t>
            </w:r>
          </w:p>
        </w:tc>
      </w:tr>
      <w:tr>
        <w:trPr>
          <w:trHeight w:val="243"/>
        </w:trPr>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0"/>
        </w:trPr>
        <w:tc>
          <w:tcPr>
            <w:tcW w:w="9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63"/>
        </w:trPr>
        <w:tc>
          <w:tcPr>
            <w:tcW w:w="9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r>
      <w:tr>
        <w:trPr>
          <w:trHeight w:val="243"/>
        </w:trPr>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Fee Payable</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40"/>
        </w:trPr>
        <w:tc>
          <w:tcPr>
            <w:tcW w:w="9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84"/>
        </w:trPr>
        <w:tc>
          <w:tcPr>
            <w:tcW w:w="9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Servicing Fees Payable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41"/>
        </w:trPr>
        <w:tc>
          <w:tcPr>
            <w:tcW w:w="9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95"/>
        </w:trPr>
        <w:tc>
          <w:tcPr>
            <w:tcW w:w="91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1,035,028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shares as an offering cost at the time the Fund sells Class R-S Units and Class R-D Units.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December 31, 2025:</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Transactional NAV</w:t>
            </w:r>
          </w:p>
        </w:tc>
      </w:tr>
      <w:tr>
        <w:trPr>
          <w:trHeight w:val="21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4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400" w:type="dxa"/>
            <w:vAlign w:val="bottom"/>
          </w:tcPr>
          <w:p>
            <w:pPr>
              <w:spacing w:after="0"/>
              <w:rPr>
                <w:sz w:val="18"/>
                <w:szCs w:val="18"/>
                <w:color w:val="auto"/>
              </w:rPr>
            </w:pPr>
          </w:p>
        </w:tc>
        <w:tc>
          <w:tcPr>
            <w:tcW w:w="238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7"/>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R-I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20,070,838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617,858</w:t>
            </w:r>
          </w:p>
        </w:tc>
      </w:tr>
      <w:tr>
        <w:trPr>
          <w:trHeight w:val="24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12,446,958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381,218</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4"/>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4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30,715</w:t>
            </w:r>
          </w:p>
        </w:tc>
      </w:tr>
      <w:tr>
        <w:trPr>
          <w:trHeight w:val="40"/>
        </w:trPr>
        <w:tc>
          <w:tcPr>
            <w:tcW w:w="2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95"/>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33,658,010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1,035,028</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500" w:right="20" w:hanging="492"/>
        <w:spacing w:after="0" w:line="298" w:lineRule="auto"/>
        <w:tabs>
          <w:tab w:leader="none" w:pos="49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 In addition, it does not reflect Class F_TE units which are not subject to management fees or performance participation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644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5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27, 2026</w:t>
            </w:r>
          </w:p>
        </w:tc>
        <w:tc>
          <w:tcPr>
            <w:tcW w:w="29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41"/>
        </w:trPr>
        <w:tc>
          <w:tcPr>
            <w:tcW w:w="39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3980" w:type="dxa"/>
            <w:vAlign w:val="bottom"/>
          </w:tcPr>
          <w:p>
            <w:pPr>
              <w:spacing w:after="0"/>
              <w:rPr>
                <w:sz w:val="20"/>
                <w:szCs w:val="20"/>
                <w:color w:val="auto"/>
              </w:rPr>
            </w:pPr>
          </w:p>
        </w:tc>
        <w:tc>
          <w:tcPr>
            <w:tcW w:w="29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White</w:t>
            </w:r>
          </w:p>
        </w:tc>
      </w:tr>
      <w:tr>
        <w:trPr>
          <w:trHeight w:val="283"/>
        </w:trPr>
        <w:tc>
          <w:tcPr>
            <w:tcW w:w="3980" w:type="dxa"/>
            <w:vAlign w:val="bottom"/>
          </w:tcPr>
          <w:p>
            <w:pPr>
              <w:spacing w:after="0"/>
              <w:rPr>
                <w:sz w:val="24"/>
                <w:szCs w:val="24"/>
                <w:color w:val="auto"/>
              </w:rPr>
            </w:pPr>
          </w:p>
        </w:tc>
        <w:tc>
          <w:tcPr>
            <w:tcW w:w="29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2026-01-27T07:25:14Z</dcterms:created>
  <dcterms:modified xsi:type="dcterms:W3CDTF">2026-01-27T07:25:14Z</dcterms:modified>
</cp:coreProperties>
</file>