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 xml:space="preserve">Commission File Number: </w:t>
      </w:r>
      <w:r>
        <w:rPr>
          <w:rFonts w:ascii="Times New Roman;serif" w:hAnsi="Times New Roman;serif"/>
          <w:b w:val="false"/>
          <w:color w:val="000000"/>
          <w:sz w:val="18"/>
        </w:rPr>
        <w:t>000-56717</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035" w:type="dxa"/>
        <w:jc w:val="left"/>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99-4755034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301 Commerce Street, Suite 3300, Fort Worth, TX</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76102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(817) 871-4000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38"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534"/>
        <w:gridCol w:w="534"/>
        <w:gridCol w:w="536"/>
        <w:gridCol w:w="109"/>
        <w:gridCol w:w="109"/>
        <w:gridCol w:w="109"/>
        <w:gridCol w:w="1033"/>
        <w:gridCol w:w="1033"/>
        <w:gridCol w:w="1459"/>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Trading 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Name of each exchange on which registered </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bl>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erif" w:hAnsi="Times New Roman;serif"/>
          <w:b w:val="false"/>
          <w:color w:val="000000"/>
          <w:sz w:val="18"/>
        </w:rPr>
        <w:t>As of August 7, 2026, the Registrant had the following limited partnership units outstanding: 10,162,469 units of Class R-I, 18,903,668 of Class I, 17,738,049 units of Class R-S, 1,885,504 units of Class S,</w:t>
      </w:r>
      <w:r>
        <w:rPr>
          <w:color w:val="000000"/>
        </w:rPr>
        <w:t xml:space="preserve"> </w:t>
      </w:r>
      <w:r>
        <w:rPr>
          <w:rFonts w:ascii="Times New Roman;serif" w:hAnsi="Times New Roman;serif"/>
          <w:b w:val="false"/>
          <w:color w:val="000000"/>
          <w:sz w:val="18"/>
        </w:rPr>
        <w:t>348,256 units of Class R-D, 87,403 units of Class D, and 5,772,643</w:t>
      </w:r>
      <w:r>
        <w:rPr>
          <w:color w:val="000000"/>
        </w:rPr>
        <w:t xml:space="preserve"> </w:t>
      </w:r>
      <w:r>
        <w:rPr>
          <w:rFonts w:ascii="Times New Roman;serif" w:hAnsi="Times New Roman;serif"/>
          <w:b w:val="false"/>
          <w:color w:val="000000"/>
          <w:sz w:val="18"/>
        </w:rPr>
        <w:t xml:space="preserve">units of Class F.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
        <w:gridCol w:w="310"/>
        <w:gridCol w:w="314"/>
        <w:gridCol w:w="2955"/>
        <w:gridCol w:w="2945"/>
        <w:gridCol w:w="2956"/>
        <w:gridCol w:w="109"/>
        <w:gridCol w:w="109"/>
        <w:gridCol w:w="15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6">
              <w:r>
                <w:rPr>
                  <w:rStyle w:val="InternetLink"/>
                  <w:rFonts w:ascii="Times New Roman;serif" w:hAnsi="Times New Roman;serif"/>
                  <w:b/>
                  <w:color w:val="000000"/>
                  <w:sz w:val="20"/>
                  <w:u w:val="single"/>
                </w:rPr>
                <w:t>Part I</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6">
              <w:r>
                <w:rPr>
                  <w:rStyle w:val="InternetLink"/>
                  <w:rFonts w:ascii="Times New Roman;serif" w:hAnsi="Times New Roman;serif"/>
                  <w:b/>
                  <w:color w:val="000000"/>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6">
              <w:r>
                <w:rPr>
                  <w:rStyle w:val="InternetLink"/>
                  <w:rFonts w:ascii="Times New Roman;serif" w:hAnsi="Times New Roman;serif"/>
                  <w:b w:val="false"/>
                  <w:color w:val="3051F2"/>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9">
              <w:r>
                <w:rPr>
                  <w:rStyle w:val="InternetLink"/>
                  <w:rFonts w:ascii="Times New Roman;serif" w:hAnsi="Times New Roman;serif"/>
                  <w:b w:val="false"/>
                  <w:color w:val="000000"/>
                  <w:sz w:val="20"/>
                  <w:u w:val="single"/>
                </w:rPr>
                <w:t xml:space="preserve">Item 1.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9">
              <w:r>
                <w:rPr>
                  <w:rStyle w:val="InternetLink"/>
                  <w:rFonts w:ascii="Times New Roman;serif" w:hAnsi="Times New Roman;serif"/>
                  <w:b w:val="false"/>
                  <w:color w:val="3051F2"/>
                  <w:sz w:val="20"/>
                  <w:u w:val="single"/>
                </w:rPr>
                <w:t>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31">
              <w:r>
                <w:rPr>
                  <w:rStyle w:val="InternetLink"/>
                  <w:rFonts w:ascii="Times New Roman;serif" w:hAnsi="Times New Roman;serif"/>
                  <w:b w:val="false"/>
                  <w:color w:val="3051F2"/>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Unaudited Condensed Financial Statements of TPG Private Equity Opportunities, L.P.:</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31">
              <w:r>
                <w:rPr>
                  <w:rStyle w:val="InternetLink"/>
                  <w:rFonts w:ascii="Times New Roman;serif" w:hAnsi="Times New Roman;serif"/>
                  <w:b w:val="false"/>
                  <w:color w:val="000080"/>
                  <w:sz w:val="20"/>
                  <w:u w:val="single"/>
                </w:rPr>
                <w:t xml:space="preserve">Condensed Statements of Assets and Liabilities </w:t>
              </w:r>
            </w:hyperlink>
            <w:hyperlink w:anchor="i5e0ca456da454a468510022e844409dc_31">
              <w:r>
                <w:rPr>
                  <w:rStyle w:val="InternetLink"/>
                  <w:rFonts w:ascii="Times New Roman;serif" w:hAnsi="Times New Roman;serif"/>
                  <w:b w:val="false"/>
                  <w:color w:val="000080"/>
                  <w:sz w:val="20"/>
                  <w:u w:val="single"/>
                </w:rPr>
                <w:t xml:space="preserve">as of </w:t>
              </w:r>
            </w:hyperlink>
            <w:hyperlink w:anchor="i5e0ca456da454a468510022e844409dc_31">
              <w:r>
                <w:rPr>
                  <w:rStyle w:val="InternetLink"/>
                  <w:rFonts w:ascii="Times New Roman;serif" w:hAnsi="Times New Roman;serif"/>
                  <w:b w:val="false"/>
                  <w:color w:val="000080"/>
                  <w:sz w:val="20"/>
                  <w:u w:val="single"/>
                </w:rPr>
                <w:t>June 30</w:t>
              </w:r>
            </w:hyperlink>
            <w:hyperlink w:anchor="i5e0ca456da454a468510022e844409dc_31">
              <w:r>
                <w:rPr>
                  <w:rStyle w:val="InternetLink"/>
                  <w:rFonts w:ascii="Times New Roman;serif" w:hAnsi="Times New Roman;serif"/>
                  <w:b w:val="false"/>
                  <w:color w:val="000080"/>
                  <w:sz w:val="20"/>
                  <w:u w:val="single"/>
                </w:rPr>
                <w:t>, 2026 and December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31">
              <w:r>
                <w:rPr>
                  <w:rStyle w:val="InternetLink"/>
                  <w:rFonts w:ascii="Times New Roman;serif" w:hAnsi="Times New Roman;serif"/>
                  <w:b w:val="false"/>
                  <w:color w:val="3051F2"/>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34">
              <w:r>
                <w:rPr>
                  <w:rStyle w:val="InternetLink"/>
                  <w:rFonts w:ascii="Times New Roman;serif" w:hAnsi="Times New Roman;serif"/>
                  <w:b w:val="false"/>
                  <w:color w:val="000080"/>
                  <w:sz w:val="20"/>
                  <w:u w:val="single"/>
                </w:rPr>
                <w:t>Condensed Statement</w:t>
              </w:r>
            </w:hyperlink>
            <w:hyperlink w:anchor="i5e0ca456da454a468510022e844409dc_34">
              <w:r>
                <w:rPr>
                  <w:rStyle w:val="InternetLink"/>
                  <w:rFonts w:ascii="Times New Roman;serif" w:hAnsi="Times New Roman;serif"/>
                  <w:b w:val="false"/>
                  <w:color w:val="000080"/>
                  <w:sz w:val="20"/>
                  <w:u w:val="single"/>
                </w:rPr>
                <w:t>s</w:t>
              </w:r>
            </w:hyperlink>
            <w:hyperlink w:anchor="i5e0ca456da454a468510022e844409dc_34">
              <w:r>
                <w:rPr>
                  <w:rStyle w:val="InternetLink"/>
                  <w:rFonts w:ascii="Times New Roman;serif" w:hAnsi="Times New Roman;serif"/>
                  <w:b w:val="false"/>
                  <w:color w:val="000080"/>
                  <w:sz w:val="20"/>
                  <w:u w:val="single"/>
                </w:rPr>
                <w:t xml:space="preserve"> of Operations </w:t>
              </w:r>
            </w:hyperlink>
            <w:hyperlink w:anchor="i5e0ca456da454a468510022e844409dc_34">
              <w:r>
                <w:rPr>
                  <w:rStyle w:val="InternetLink"/>
                  <w:rFonts w:ascii="Times New Roman;serif" w:hAnsi="Times New Roman;serif"/>
                  <w:b w:val="false"/>
                  <w:color w:val="000080"/>
                  <w:sz w:val="20"/>
                  <w:u w:val="single"/>
                </w:rPr>
                <w:t xml:space="preserve">for the Three </w:t>
              </w:r>
            </w:hyperlink>
            <w:hyperlink w:anchor="i5e0ca456da454a468510022e844409dc_34">
              <w:r>
                <w:rPr>
                  <w:rStyle w:val="InternetLink"/>
                  <w:rFonts w:ascii="Times New Roman;serif" w:hAnsi="Times New Roman;serif"/>
                  <w:b w:val="false"/>
                  <w:color w:val="000080"/>
                  <w:sz w:val="20"/>
                  <w:u w:val="single"/>
                </w:rPr>
                <w:t xml:space="preserve">and Six </w:t>
              </w:r>
            </w:hyperlink>
            <w:hyperlink w:anchor="i5e0ca456da454a468510022e844409dc_34">
              <w:r>
                <w:rPr>
                  <w:rStyle w:val="InternetLink"/>
                  <w:rFonts w:ascii="Times New Roman;serif" w:hAnsi="Times New Roman;serif"/>
                  <w:b w:val="false"/>
                  <w:color w:val="000080"/>
                  <w:sz w:val="20"/>
                  <w:u w:val="single"/>
                </w:rPr>
                <w:t xml:space="preserve">Months Ended </w:t>
              </w:r>
            </w:hyperlink>
            <w:hyperlink w:anchor="i5e0ca456da454a468510022e844409dc_34">
              <w:r>
                <w:rPr>
                  <w:rStyle w:val="InternetLink"/>
                  <w:rFonts w:ascii="Times New Roman;serif" w:hAnsi="Times New Roman;serif"/>
                  <w:b w:val="false"/>
                  <w:color w:val="000080"/>
                  <w:sz w:val="20"/>
                  <w:u w:val="single"/>
                </w:rPr>
                <w:t>J</w:t>
              </w:r>
            </w:hyperlink>
            <w:hyperlink w:anchor="i5e0ca456da454a468510022e844409dc_34">
              <w:r>
                <w:rPr>
                  <w:rStyle w:val="InternetLink"/>
                  <w:rFonts w:ascii="Times New Roman;serif" w:hAnsi="Times New Roman;serif"/>
                  <w:b w:val="false"/>
                  <w:color w:val="000080"/>
                  <w:sz w:val="20"/>
                  <w:u w:val="single"/>
                </w:rPr>
                <w:t>une</w:t>
              </w:r>
            </w:hyperlink>
            <w:hyperlink w:anchor="i5e0ca456da454a468510022e844409dc_34">
              <w:r>
                <w:rPr>
                  <w:rStyle w:val="InternetLink"/>
                  <w:rFonts w:ascii="Times New Roman;serif" w:hAnsi="Times New Roman;serif"/>
                  <w:b w:val="false"/>
                  <w:color w:val="000080"/>
                  <w:sz w:val="20"/>
                  <w:u w:val="single"/>
                </w:rPr>
                <w:t xml:space="preserve"> 3</w:t>
              </w:r>
            </w:hyperlink>
            <w:hyperlink w:anchor="i5e0ca456da454a468510022e844409dc_34">
              <w:r>
                <w:rPr>
                  <w:rStyle w:val="InternetLink"/>
                  <w:rFonts w:ascii="Times New Roman;serif" w:hAnsi="Times New Roman;serif"/>
                  <w:b w:val="false"/>
                  <w:color w:val="000080"/>
                  <w:sz w:val="20"/>
                  <w:u w:val="single"/>
                </w:rPr>
                <w:t>0</w:t>
              </w:r>
            </w:hyperlink>
            <w:hyperlink w:anchor="i5e0ca456da454a468510022e844409dc_34">
              <w:r>
                <w:rPr>
                  <w:rStyle w:val="InternetLink"/>
                  <w:rFonts w:ascii="Times New Roman;serif" w:hAnsi="Times New Roman;serif"/>
                  <w:b w:val="false"/>
                  <w:color w:val="000080"/>
                  <w:sz w:val="20"/>
                  <w:u w:val="single"/>
                </w:rPr>
                <w:t>, 202</w:t>
              </w:r>
            </w:hyperlink>
            <w:hyperlink w:anchor="i5e0ca456da454a468510022e844409dc_34">
              <w:r>
                <w:rPr>
                  <w:rStyle w:val="InternetLink"/>
                  <w:rFonts w:ascii="Times New Roman;serif" w:hAnsi="Times New Roman;serif"/>
                  <w:b w:val="false"/>
                  <w:color w:val="000080"/>
                  <w:sz w:val="20"/>
                  <w:u w:val="single"/>
                </w:rPr>
                <w:t>6</w:t>
              </w:r>
            </w:hyperlink>
            <w:hyperlink w:anchor="i5e0ca456da454a468510022e844409dc_34">
              <w:r>
                <w:rPr>
                  <w:rStyle w:val="InternetLink"/>
                  <w:rFonts w:ascii="Times New Roman;serif" w:hAnsi="Times New Roman;serif"/>
                  <w:b w:val="false"/>
                  <w:color w:val="000080"/>
                  <w:sz w:val="20"/>
                  <w:u w:val="single"/>
                </w:rPr>
                <w:t xml:space="preserve">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34">
              <w:r>
                <w:rPr>
                  <w:rStyle w:val="InternetLink"/>
                  <w:rFonts w:ascii="Times New Roman;serif" w:hAnsi="Times New Roman;serif"/>
                  <w:b w:val="false"/>
                  <w:color w:val="3051F2"/>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37">
              <w:r>
                <w:rPr>
                  <w:rStyle w:val="InternetLink"/>
                  <w:rFonts w:ascii="Times New Roman;serif" w:hAnsi="Times New Roman;serif"/>
                  <w:b w:val="false"/>
                  <w:color w:val="000080"/>
                  <w:sz w:val="20"/>
                  <w:u w:val="single"/>
                </w:rPr>
                <w:t>Condensed Statement</w:t>
              </w:r>
            </w:hyperlink>
            <w:hyperlink w:anchor="i5e0ca456da454a468510022e844409dc_37">
              <w:r>
                <w:rPr>
                  <w:rStyle w:val="InternetLink"/>
                  <w:rFonts w:ascii="Times New Roman;serif" w:hAnsi="Times New Roman;serif"/>
                  <w:b w:val="false"/>
                  <w:color w:val="000080"/>
                  <w:sz w:val="20"/>
                  <w:u w:val="single"/>
                </w:rPr>
                <w:t>s</w:t>
              </w:r>
            </w:hyperlink>
            <w:hyperlink w:anchor="i5e0ca456da454a468510022e844409dc_37">
              <w:r>
                <w:rPr>
                  <w:rStyle w:val="InternetLink"/>
                  <w:rFonts w:ascii="Times New Roman;serif" w:hAnsi="Times New Roman;serif"/>
                  <w:b w:val="false"/>
                  <w:color w:val="000080"/>
                  <w:sz w:val="20"/>
                  <w:u w:val="single"/>
                </w:rPr>
                <w:t xml:space="preserve"> of Changes in Net Assets </w:t>
              </w:r>
            </w:hyperlink>
            <w:hyperlink w:anchor="i5e0ca456da454a468510022e844409dc_37">
              <w:r>
                <w:rPr>
                  <w:rStyle w:val="InternetLink"/>
                  <w:rFonts w:ascii="Times New Roman;serif" w:hAnsi="Times New Roman;serif"/>
                  <w:b w:val="false"/>
                  <w:color w:val="000080"/>
                  <w:sz w:val="20"/>
                  <w:u w:val="single"/>
                </w:rPr>
                <w:t>for the Three</w:t>
              </w:r>
            </w:hyperlink>
            <w:hyperlink w:anchor="i5e0ca456da454a468510022e844409dc_37">
              <w:r>
                <w:rPr>
                  <w:rStyle w:val="InternetLink"/>
                  <w:rFonts w:ascii="Times New Roman;serif" w:hAnsi="Times New Roman;serif"/>
                  <w:b w:val="false"/>
                  <w:color w:val="000080"/>
                  <w:sz w:val="20"/>
                  <w:u w:val="single"/>
                </w:rPr>
                <w:t xml:space="preserve"> and </w:t>
              </w:r>
            </w:hyperlink>
            <w:hyperlink w:anchor="i5e0ca456da454a468510022e844409dc_37">
              <w:r>
                <w:rPr>
                  <w:rStyle w:val="InternetLink"/>
                  <w:rFonts w:ascii="Times New Roman;serif" w:hAnsi="Times New Roman;serif"/>
                  <w:b w:val="false"/>
                  <w:color w:val="000080"/>
                  <w:sz w:val="20"/>
                  <w:u w:val="single"/>
                </w:rPr>
                <w:t>Six</w:t>
              </w:r>
            </w:hyperlink>
            <w:hyperlink w:anchor="i5e0ca456da454a468510022e844409dc_37">
              <w:r>
                <w:rPr>
                  <w:rStyle w:val="InternetLink"/>
                  <w:rFonts w:ascii="Times New Roman;serif" w:hAnsi="Times New Roman;serif"/>
                  <w:b w:val="false"/>
                  <w:color w:val="000080"/>
                  <w:sz w:val="20"/>
                  <w:u w:val="single"/>
                </w:rPr>
                <w:t xml:space="preserve"> </w:t>
              </w:r>
            </w:hyperlink>
            <w:hyperlink w:anchor="i5e0ca456da454a468510022e844409dc_37">
              <w:r>
                <w:rPr>
                  <w:rStyle w:val="InternetLink"/>
                  <w:rFonts w:ascii="Times New Roman;serif" w:hAnsi="Times New Roman;serif"/>
                  <w:b w:val="false"/>
                  <w:color w:val="000080"/>
                  <w:sz w:val="20"/>
                  <w:u w:val="single"/>
                </w:rPr>
                <w:t xml:space="preserve">Months Ended </w:t>
              </w:r>
            </w:hyperlink>
            <w:hyperlink w:anchor="i5e0ca456da454a468510022e844409dc_37">
              <w:r>
                <w:rPr>
                  <w:rStyle w:val="InternetLink"/>
                  <w:rFonts w:ascii="Times New Roman;serif" w:hAnsi="Times New Roman;serif"/>
                  <w:b w:val="false"/>
                  <w:color w:val="000080"/>
                  <w:sz w:val="20"/>
                  <w:u w:val="single"/>
                </w:rPr>
                <w:t>June 30</w:t>
              </w:r>
            </w:hyperlink>
            <w:hyperlink w:anchor="i5e0ca456da454a468510022e844409dc_37">
              <w:r>
                <w:rPr>
                  <w:rStyle w:val="InternetLink"/>
                  <w:rFonts w:ascii="Times New Roman;serif" w:hAnsi="Times New Roman;serif"/>
                  <w:b w:val="false"/>
                  <w:color w:val="000080"/>
                  <w:sz w:val="20"/>
                  <w:u w:val="single"/>
                </w:rPr>
                <w:t>, 202</w:t>
              </w:r>
            </w:hyperlink>
            <w:hyperlink w:anchor="i5e0ca456da454a468510022e844409dc_37">
              <w:r>
                <w:rPr>
                  <w:rStyle w:val="InternetLink"/>
                  <w:rFonts w:ascii="Times New Roman;serif" w:hAnsi="Times New Roman;serif"/>
                  <w:b w:val="false"/>
                  <w:color w:val="000080"/>
                  <w:sz w:val="20"/>
                  <w:u w:val="single"/>
                </w:rPr>
                <w:t>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37">
              <w:r>
                <w:rPr>
                  <w:rStyle w:val="InternetLink"/>
                  <w:rFonts w:ascii="Times New Roman;serif" w:hAnsi="Times New Roman;serif"/>
                  <w:b w:val="false"/>
                  <w:color w:val="3051F2"/>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40">
              <w:r>
                <w:rPr>
                  <w:rStyle w:val="InternetLink"/>
                  <w:rFonts w:ascii="Times New Roman;serif" w:hAnsi="Times New Roman;serif"/>
                  <w:b w:val="false"/>
                  <w:color w:val="000080"/>
                  <w:sz w:val="20"/>
                  <w:u w:val="single"/>
                </w:rPr>
                <w:t>Condensed Statement</w:t>
              </w:r>
            </w:hyperlink>
            <w:hyperlink w:anchor="i5e0ca456da454a468510022e844409dc_40">
              <w:r>
                <w:rPr>
                  <w:rStyle w:val="InternetLink"/>
                  <w:rFonts w:ascii="Times New Roman;serif" w:hAnsi="Times New Roman;serif"/>
                  <w:b w:val="false"/>
                  <w:color w:val="000080"/>
                  <w:sz w:val="20"/>
                  <w:u w:val="single"/>
                </w:rPr>
                <w:t>s</w:t>
              </w:r>
            </w:hyperlink>
            <w:hyperlink w:anchor="i5e0ca456da454a468510022e844409dc_40">
              <w:r>
                <w:rPr>
                  <w:rStyle w:val="InternetLink"/>
                  <w:rFonts w:ascii="Times New Roman;serif" w:hAnsi="Times New Roman;serif"/>
                  <w:b w:val="false"/>
                  <w:color w:val="000080"/>
                  <w:sz w:val="20"/>
                  <w:u w:val="single"/>
                </w:rPr>
                <w:t xml:space="preserve"> of Cash Flows </w:t>
              </w:r>
            </w:hyperlink>
            <w:hyperlink w:anchor="i5e0ca456da454a468510022e844409dc_40">
              <w:r>
                <w:rPr>
                  <w:rStyle w:val="InternetLink"/>
                  <w:rFonts w:ascii="Times New Roman;serif" w:hAnsi="Times New Roman;serif"/>
                  <w:b w:val="false"/>
                  <w:color w:val="000080"/>
                  <w:sz w:val="20"/>
                  <w:u w:val="single"/>
                </w:rPr>
                <w:t xml:space="preserve">for the </w:t>
              </w:r>
            </w:hyperlink>
            <w:hyperlink w:anchor="i5e0ca456da454a468510022e844409dc_40">
              <w:r>
                <w:rPr>
                  <w:rStyle w:val="InternetLink"/>
                  <w:rFonts w:ascii="Times New Roman;serif" w:hAnsi="Times New Roman;serif"/>
                  <w:b w:val="false"/>
                  <w:color w:val="000080"/>
                  <w:sz w:val="20"/>
                  <w:u w:val="single"/>
                </w:rPr>
                <w:t>Six</w:t>
              </w:r>
            </w:hyperlink>
            <w:hyperlink w:anchor="i5e0ca456da454a468510022e844409dc_40">
              <w:r>
                <w:rPr>
                  <w:rStyle w:val="InternetLink"/>
                  <w:rFonts w:ascii="Times New Roman;serif" w:hAnsi="Times New Roman;serif"/>
                  <w:b w:val="false"/>
                  <w:color w:val="000080"/>
                  <w:sz w:val="20"/>
                  <w:u w:val="single"/>
                </w:rPr>
                <w:t xml:space="preserve"> Months Ended </w:t>
              </w:r>
            </w:hyperlink>
            <w:hyperlink w:anchor="i5e0ca456da454a468510022e844409dc_40">
              <w:r>
                <w:rPr>
                  <w:rStyle w:val="InternetLink"/>
                  <w:rFonts w:ascii="Times New Roman;serif" w:hAnsi="Times New Roman;serif"/>
                  <w:b w:val="false"/>
                  <w:color w:val="000080"/>
                  <w:sz w:val="20"/>
                  <w:u w:val="single"/>
                </w:rPr>
                <w:t>June 30</w:t>
              </w:r>
            </w:hyperlink>
            <w:hyperlink w:anchor="i5e0ca456da454a468510022e844409dc_40">
              <w:r>
                <w:rPr>
                  <w:rStyle w:val="InternetLink"/>
                  <w:rFonts w:ascii="Times New Roman;serif" w:hAnsi="Times New Roman;serif"/>
                  <w:b w:val="false"/>
                  <w:color w:val="000080"/>
                  <w:sz w:val="20"/>
                  <w:u w:val="single"/>
                </w:rPr>
                <w:t>, 202</w:t>
              </w:r>
            </w:hyperlink>
            <w:hyperlink w:anchor="i5e0ca456da454a468510022e844409dc_40">
              <w:r>
                <w:rPr>
                  <w:rStyle w:val="InternetLink"/>
                  <w:rFonts w:ascii="Times New Roman;serif" w:hAnsi="Times New Roman;serif"/>
                  <w:b w:val="false"/>
                  <w:color w:val="000080"/>
                  <w:sz w:val="20"/>
                  <w:u w:val="single"/>
                </w:rPr>
                <w:t>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40">
              <w:r>
                <w:rPr>
                  <w:rStyle w:val="InternetLink"/>
                  <w:rFonts w:ascii="Times New Roman;serif" w:hAnsi="Times New Roman;serif"/>
                  <w:b w:val="false"/>
                  <w:color w:val="3051F2"/>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43">
              <w:r>
                <w:rPr>
                  <w:rStyle w:val="InternetLink"/>
                  <w:rFonts w:ascii="Times New Roman;serif" w:hAnsi="Times New Roman;serif"/>
                  <w:b w:val="false"/>
                  <w:color w:val="000080"/>
                  <w:sz w:val="20"/>
                  <w:u w:val="single"/>
                </w:rPr>
                <w:t xml:space="preserve">Condensed Schedules of Investment as of </w:t>
              </w:r>
            </w:hyperlink>
            <w:hyperlink w:anchor="i5e0ca456da454a468510022e844409dc_43">
              <w:r>
                <w:rPr>
                  <w:rStyle w:val="InternetLink"/>
                  <w:rFonts w:ascii="Times New Roman;serif" w:hAnsi="Times New Roman;serif"/>
                  <w:b w:val="false"/>
                  <w:color w:val="000080"/>
                  <w:sz w:val="20"/>
                  <w:u w:val="single"/>
                </w:rPr>
                <w:t>June 30</w:t>
              </w:r>
            </w:hyperlink>
            <w:hyperlink w:anchor="i5e0ca456da454a468510022e844409dc_43">
              <w:r>
                <w:rPr>
                  <w:rStyle w:val="InternetLink"/>
                  <w:rFonts w:ascii="Times New Roman;serif" w:hAnsi="Times New Roman;serif"/>
                  <w:b w:val="false"/>
                  <w:color w:val="000080"/>
                  <w:sz w:val="20"/>
                  <w:u w:val="single"/>
                </w:rPr>
                <w:t xml:space="preserve">, 2026 </w:t>
              </w:r>
            </w:hyperlink>
            <w:hyperlink w:anchor="i5e0ca456da454a468510022e844409dc_43">
              <w:r>
                <w:rPr>
                  <w:rStyle w:val="InternetLink"/>
                  <w:rFonts w:ascii="Times New Roman;serif" w:hAnsi="Times New Roman;serif"/>
                  <w:b w:val="false"/>
                  <w:color w:val="000080"/>
                  <w:sz w:val="20"/>
                  <w:u w:val="single"/>
                </w:rPr>
                <w:t>and December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43">
              <w:r>
                <w:rPr>
                  <w:rStyle w:val="InternetLink"/>
                  <w:rFonts w:ascii="Times New Roman;serif" w:hAnsi="Times New Roman;serif"/>
                  <w:b w:val="false"/>
                  <w:color w:val="3051F2"/>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49">
              <w:r>
                <w:rPr>
                  <w:rStyle w:val="InternetLink"/>
                  <w:rFonts w:ascii="Times New Roman;serif" w:hAnsi="Times New Roman;serif"/>
                  <w:b w:val="false"/>
                  <w:color w:val="0000FF"/>
                  <w:sz w:val="20"/>
                  <w:u w:val="single"/>
                </w:rPr>
                <w:t>Notes to Condensed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49">
              <w:r>
                <w:rPr>
                  <w:rStyle w:val="InternetLink"/>
                  <w:rFonts w:ascii="Times New Roman;serif" w:hAnsi="Times New Roman;serif"/>
                  <w:b w:val="false"/>
                  <w:color w:val="3051F2"/>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Financial Statements of T-POP US Aggregator (CYM), L.P.:</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00">
              <w:r>
                <w:rPr>
                  <w:rStyle w:val="InternetLink"/>
                  <w:rFonts w:ascii="Times New Roman;serif" w:hAnsi="Times New Roman;serif"/>
                  <w:b w:val="false"/>
                  <w:color w:val="000080"/>
                  <w:sz w:val="20"/>
                  <w:u w:val="single"/>
                </w:rPr>
                <w:t xml:space="preserve">Condensed Consolidated Statements of Assets and Liabilities </w:t>
              </w:r>
            </w:hyperlink>
            <w:hyperlink w:anchor="i5e0ca456da454a468510022e844409dc_100">
              <w:r>
                <w:rPr>
                  <w:rStyle w:val="InternetLink"/>
                  <w:rFonts w:ascii="Times New Roman;serif" w:hAnsi="Times New Roman;serif"/>
                  <w:b w:val="false"/>
                  <w:color w:val="000080"/>
                  <w:sz w:val="20"/>
                  <w:u w:val="single"/>
                </w:rPr>
                <w:t xml:space="preserve">as of </w:t>
              </w:r>
            </w:hyperlink>
            <w:hyperlink w:anchor="i5e0ca456da454a468510022e844409dc_100">
              <w:r>
                <w:rPr>
                  <w:rStyle w:val="InternetLink"/>
                  <w:rFonts w:ascii="Times New Roman;serif" w:hAnsi="Times New Roman;serif"/>
                  <w:b w:val="false"/>
                  <w:color w:val="000080"/>
                  <w:sz w:val="20"/>
                  <w:u w:val="single"/>
                </w:rPr>
                <w:t>June 30</w:t>
              </w:r>
            </w:hyperlink>
            <w:hyperlink w:anchor="i5e0ca456da454a468510022e844409dc_100">
              <w:r>
                <w:rPr>
                  <w:rStyle w:val="InternetLink"/>
                  <w:rFonts w:ascii="Times New Roman;serif" w:hAnsi="Times New Roman;serif"/>
                  <w:b w:val="false"/>
                  <w:color w:val="000080"/>
                  <w:sz w:val="20"/>
                  <w:u w:val="single"/>
                </w:rPr>
                <w:t>, 2026 and December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00">
              <w:r>
                <w:rPr>
                  <w:rStyle w:val="InternetLink"/>
                  <w:rFonts w:ascii="Times New Roman;serif" w:hAnsi="Times New Roman;serif"/>
                  <w:b w:val="false"/>
                  <w:color w:val="3051F2"/>
                  <w:sz w:val="20"/>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03">
              <w:r>
                <w:rPr>
                  <w:rStyle w:val="InternetLink"/>
                  <w:rFonts w:ascii="Times New Roman;serif" w:hAnsi="Times New Roman;serif"/>
                  <w:b w:val="false"/>
                  <w:color w:val="000080"/>
                  <w:sz w:val="20"/>
                  <w:u w:val="single"/>
                </w:rPr>
                <w:t>Condensed Consolidated Statement</w:t>
              </w:r>
            </w:hyperlink>
            <w:hyperlink w:anchor="i5e0ca456da454a468510022e844409dc_103">
              <w:r>
                <w:rPr>
                  <w:rStyle w:val="InternetLink"/>
                  <w:rFonts w:ascii="Times New Roman;serif" w:hAnsi="Times New Roman;serif"/>
                  <w:b w:val="false"/>
                  <w:color w:val="000080"/>
                  <w:sz w:val="20"/>
                  <w:u w:val="single"/>
                </w:rPr>
                <w:t>s</w:t>
              </w:r>
            </w:hyperlink>
            <w:hyperlink w:anchor="i5e0ca456da454a468510022e844409dc_103">
              <w:r>
                <w:rPr>
                  <w:rStyle w:val="InternetLink"/>
                  <w:rFonts w:ascii="Times New Roman;serif" w:hAnsi="Times New Roman;serif"/>
                  <w:b w:val="false"/>
                  <w:color w:val="000080"/>
                  <w:sz w:val="20"/>
                  <w:u w:val="single"/>
                </w:rPr>
                <w:t xml:space="preserve"> of Operations </w:t>
              </w:r>
            </w:hyperlink>
            <w:hyperlink w:anchor="i5e0ca456da454a468510022e844409dc_103">
              <w:r>
                <w:rPr>
                  <w:rStyle w:val="InternetLink"/>
                  <w:rFonts w:ascii="Times New Roman;serif" w:hAnsi="Times New Roman;serif"/>
                  <w:b w:val="false"/>
                  <w:color w:val="000080"/>
                  <w:sz w:val="20"/>
                  <w:u w:val="single"/>
                </w:rPr>
                <w:t xml:space="preserve">for the Three </w:t>
              </w:r>
            </w:hyperlink>
            <w:hyperlink w:anchor="i5e0ca456da454a468510022e844409dc_103">
              <w:r>
                <w:rPr>
                  <w:rStyle w:val="InternetLink"/>
                  <w:rFonts w:ascii="Times New Roman;serif" w:hAnsi="Times New Roman;serif"/>
                  <w:b w:val="false"/>
                  <w:color w:val="000080"/>
                  <w:sz w:val="20"/>
                  <w:u w:val="single"/>
                </w:rPr>
                <w:t xml:space="preserve">and Six </w:t>
              </w:r>
            </w:hyperlink>
            <w:hyperlink w:anchor="i5e0ca456da454a468510022e844409dc_103">
              <w:r>
                <w:rPr>
                  <w:rStyle w:val="InternetLink"/>
                  <w:rFonts w:ascii="Times New Roman;serif" w:hAnsi="Times New Roman;serif"/>
                  <w:b w:val="false"/>
                  <w:color w:val="000080"/>
                  <w:sz w:val="20"/>
                  <w:u w:val="single"/>
                </w:rPr>
                <w:t xml:space="preserve">Months Ended </w:t>
              </w:r>
            </w:hyperlink>
            <w:hyperlink w:anchor="i5e0ca456da454a468510022e844409dc_103">
              <w:r>
                <w:rPr>
                  <w:rStyle w:val="InternetLink"/>
                  <w:rFonts w:ascii="Times New Roman;serif" w:hAnsi="Times New Roman;serif"/>
                  <w:b w:val="false"/>
                  <w:color w:val="000080"/>
                  <w:sz w:val="20"/>
                  <w:u w:val="single"/>
                </w:rPr>
                <w:t>June</w:t>
              </w:r>
            </w:hyperlink>
            <w:hyperlink w:anchor="i5e0ca456da454a468510022e844409dc_103">
              <w:r>
                <w:rPr>
                  <w:rStyle w:val="InternetLink"/>
                  <w:rFonts w:ascii="Times New Roman;serif" w:hAnsi="Times New Roman;serif"/>
                  <w:b w:val="false"/>
                  <w:color w:val="000080"/>
                  <w:sz w:val="20"/>
                  <w:u w:val="single"/>
                </w:rPr>
                <w:t xml:space="preserve"> 3</w:t>
              </w:r>
            </w:hyperlink>
            <w:hyperlink w:anchor="i5e0ca456da454a468510022e844409dc_103">
              <w:r>
                <w:rPr>
                  <w:rStyle w:val="InternetLink"/>
                  <w:rFonts w:ascii="Times New Roman;serif" w:hAnsi="Times New Roman;serif"/>
                  <w:b w:val="false"/>
                  <w:color w:val="000080"/>
                  <w:sz w:val="20"/>
                  <w:u w:val="single"/>
                </w:rPr>
                <w:t>0</w:t>
              </w:r>
            </w:hyperlink>
            <w:hyperlink w:anchor="i5e0ca456da454a468510022e844409dc_103">
              <w:r>
                <w:rPr>
                  <w:rStyle w:val="InternetLink"/>
                  <w:rFonts w:ascii="Times New Roman;serif" w:hAnsi="Times New Roman;serif"/>
                  <w:b w:val="false"/>
                  <w:color w:val="000080"/>
                  <w:sz w:val="20"/>
                  <w:u w:val="single"/>
                </w:rPr>
                <w:t>, 2026</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03">
              <w:r>
                <w:rPr>
                  <w:rStyle w:val="InternetLink"/>
                  <w:rFonts w:ascii="Times New Roman;serif" w:hAnsi="Times New Roman;serif"/>
                  <w:b w:val="false"/>
                  <w:color w:val="3051F2"/>
                  <w:sz w:val="20"/>
                  <w:u w:val="single"/>
                </w:rPr>
                <w:t>24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09">
              <w:r>
                <w:rPr>
                  <w:rStyle w:val="InternetLink"/>
                  <w:rFonts w:ascii="Times New Roman;serif" w:hAnsi="Times New Roman;serif"/>
                  <w:b w:val="false"/>
                  <w:color w:val="000080"/>
                  <w:sz w:val="20"/>
                  <w:u w:val="single"/>
                </w:rPr>
                <w:t>Condensed Consolidated Statement</w:t>
              </w:r>
            </w:hyperlink>
            <w:hyperlink w:anchor="i5e0ca456da454a468510022e844409dc_109">
              <w:r>
                <w:rPr>
                  <w:rStyle w:val="InternetLink"/>
                  <w:rFonts w:ascii="Times New Roman;serif" w:hAnsi="Times New Roman;serif"/>
                  <w:b w:val="false"/>
                  <w:color w:val="000080"/>
                  <w:sz w:val="20"/>
                  <w:u w:val="single"/>
                </w:rPr>
                <w:t>s</w:t>
              </w:r>
            </w:hyperlink>
            <w:hyperlink w:anchor="i5e0ca456da454a468510022e844409dc_109">
              <w:r>
                <w:rPr>
                  <w:rStyle w:val="InternetLink"/>
                  <w:rFonts w:ascii="Times New Roman;serif" w:hAnsi="Times New Roman;serif"/>
                  <w:b w:val="false"/>
                  <w:color w:val="000080"/>
                  <w:sz w:val="20"/>
                  <w:u w:val="single"/>
                </w:rPr>
                <w:t xml:space="preserve"> of Changes in Net Assets</w:t>
              </w:r>
            </w:hyperlink>
            <w:hyperlink w:anchor="i5e0ca456da454a468510022e844409dc_109">
              <w:r>
                <w:rPr>
                  <w:rStyle w:val="InternetLink"/>
                  <w:rFonts w:ascii="Times New Roman;serif" w:hAnsi="Times New Roman;serif"/>
                  <w:b w:val="false"/>
                  <w:color w:val="000080"/>
                  <w:sz w:val="20"/>
                  <w:u w:val="single"/>
                </w:rPr>
                <w:t xml:space="preserve"> </w:t>
              </w:r>
            </w:hyperlink>
            <w:hyperlink w:anchor="i5e0ca456da454a468510022e844409dc_109">
              <w:r>
                <w:rPr>
                  <w:rStyle w:val="InternetLink"/>
                  <w:rFonts w:ascii="Times New Roman;serif" w:hAnsi="Times New Roman;serif"/>
                  <w:b w:val="false"/>
                  <w:color w:val="000080"/>
                  <w:sz w:val="20"/>
                  <w:u w:val="single"/>
                </w:rPr>
                <w:t>for the Three</w:t>
              </w:r>
            </w:hyperlink>
            <w:hyperlink w:anchor="i5e0ca456da454a468510022e844409dc_109">
              <w:r>
                <w:rPr>
                  <w:rStyle w:val="InternetLink"/>
                  <w:rFonts w:ascii="Times New Roman;serif" w:hAnsi="Times New Roman;serif"/>
                  <w:b w:val="false"/>
                  <w:color w:val="000080"/>
                  <w:sz w:val="20"/>
                  <w:u w:val="single"/>
                </w:rPr>
                <w:t xml:space="preserve"> and Six</w:t>
              </w:r>
            </w:hyperlink>
            <w:hyperlink w:anchor="i5e0ca456da454a468510022e844409dc_109">
              <w:r>
                <w:rPr>
                  <w:rStyle w:val="InternetLink"/>
                  <w:rFonts w:ascii="Times New Roman;serif" w:hAnsi="Times New Roman;serif"/>
                  <w:b w:val="false"/>
                  <w:color w:val="000080"/>
                  <w:sz w:val="20"/>
                  <w:u w:val="single"/>
                </w:rPr>
                <w:t xml:space="preserve"> Months Ended </w:t>
              </w:r>
            </w:hyperlink>
            <w:hyperlink w:anchor="i5e0ca456da454a468510022e844409dc_109">
              <w:r>
                <w:rPr>
                  <w:rStyle w:val="InternetLink"/>
                  <w:rFonts w:ascii="Times New Roman;serif" w:hAnsi="Times New Roman;serif"/>
                  <w:b w:val="false"/>
                  <w:color w:val="000080"/>
                  <w:sz w:val="20"/>
                  <w:u w:val="single"/>
                </w:rPr>
                <w:t>June 30</w:t>
              </w:r>
            </w:hyperlink>
            <w:hyperlink w:anchor="i5e0ca456da454a468510022e844409dc_109">
              <w:r>
                <w:rPr>
                  <w:rStyle w:val="InternetLink"/>
                  <w:rFonts w:ascii="Times New Roman;serif" w:hAnsi="Times New Roman;serif"/>
                  <w:b w:val="false"/>
                  <w:color w:val="000080"/>
                  <w:sz w:val="20"/>
                  <w:u w:val="single"/>
                </w:rPr>
                <w:t>, 2026</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09">
              <w:r>
                <w:rPr>
                  <w:rStyle w:val="InternetLink"/>
                  <w:rFonts w:ascii="Times New Roman;serif" w:hAnsi="Times New Roman;serif"/>
                  <w:b w:val="false"/>
                  <w:color w:val="3051F2"/>
                  <w:sz w:val="20"/>
                  <w:u w:val="single"/>
                </w:rPr>
                <w:t>25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12">
              <w:r>
                <w:rPr>
                  <w:rStyle w:val="InternetLink"/>
                  <w:rFonts w:ascii="Times New Roman;serif" w:hAnsi="Times New Roman;serif"/>
                  <w:b w:val="false"/>
                  <w:color w:val="000080"/>
                  <w:sz w:val="20"/>
                  <w:u w:val="single"/>
                </w:rPr>
                <w:t xml:space="preserve">Condensed Consolidated Statement of Cash Flows </w:t>
              </w:r>
            </w:hyperlink>
            <w:hyperlink w:anchor="i5e0ca456da454a468510022e844409dc_112">
              <w:r>
                <w:rPr>
                  <w:rStyle w:val="InternetLink"/>
                  <w:rFonts w:ascii="Times New Roman;serif" w:hAnsi="Times New Roman;serif"/>
                  <w:b w:val="false"/>
                  <w:color w:val="000080"/>
                  <w:sz w:val="20"/>
                  <w:u w:val="single"/>
                </w:rPr>
                <w:t xml:space="preserve">for the </w:t>
              </w:r>
            </w:hyperlink>
            <w:hyperlink w:anchor="i5e0ca456da454a468510022e844409dc_112">
              <w:r>
                <w:rPr>
                  <w:rStyle w:val="InternetLink"/>
                  <w:rFonts w:ascii="Times New Roman;serif" w:hAnsi="Times New Roman;serif"/>
                  <w:b w:val="false"/>
                  <w:color w:val="000080"/>
                  <w:sz w:val="20"/>
                  <w:u w:val="single"/>
                </w:rPr>
                <w:t>Six</w:t>
              </w:r>
            </w:hyperlink>
            <w:hyperlink w:anchor="i5e0ca456da454a468510022e844409dc_112">
              <w:r>
                <w:rPr>
                  <w:rStyle w:val="InternetLink"/>
                  <w:rFonts w:ascii="Times New Roman;serif" w:hAnsi="Times New Roman;serif"/>
                  <w:b w:val="false"/>
                  <w:color w:val="000080"/>
                  <w:sz w:val="20"/>
                  <w:u w:val="single"/>
                </w:rPr>
                <w:t xml:space="preserve"> Months Ended </w:t>
              </w:r>
            </w:hyperlink>
            <w:hyperlink w:anchor="i5e0ca456da454a468510022e844409dc_112">
              <w:r>
                <w:rPr>
                  <w:rStyle w:val="InternetLink"/>
                  <w:rFonts w:ascii="Times New Roman;serif" w:hAnsi="Times New Roman;serif"/>
                  <w:b w:val="false"/>
                  <w:color w:val="000080"/>
                  <w:sz w:val="20"/>
                  <w:u w:val="single"/>
                </w:rPr>
                <w:t>June</w:t>
              </w:r>
            </w:hyperlink>
            <w:hyperlink w:anchor="i5e0ca456da454a468510022e844409dc_112">
              <w:r>
                <w:rPr>
                  <w:rStyle w:val="InternetLink"/>
                  <w:rFonts w:ascii="Times New Roman;serif" w:hAnsi="Times New Roman;serif"/>
                  <w:b w:val="false"/>
                  <w:color w:val="000080"/>
                  <w:sz w:val="20"/>
                  <w:u w:val="single"/>
                </w:rPr>
                <w:t xml:space="preserve"> 3</w:t>
              </w:r>
            </w:hyperlink>
            <w:hyperlink w:anchor="i5e0ca456da454a468510022e844409dc_112">
              <w:r>
                <w:rPr>
                  <w:rStyle w:val="InternetLink"/>
                  <w:rFonts w:ascii="Times New Roman;serif" w:hAnsi="Times New Roman;serif"/>
                  <w:b w:val="false"/>
                  <w:color w:val="000080"/>
                  <w:sz w:val="20"/>
                  <w:u w:val="single"/>
                </w:rPr>
                <w:t>0</w:t>
              </w:r>
            </w:hyperlink>
            <w:hyperlink w:anchor="i5e0ca456da454a468510022e844409dc_112">
              <w:r>
                <w:rPr>
                  <w:rStyle w:val="InternetLink"/>
                  <w:rFonts w:ascii="Times New Roman;serif" w:hAnsi="Times New Roman;serif"/>
                  <w:b w:val="false"/>
                  <w:color w:val="000080"/>
                  <w:sz w:val="20"/>
                  <w:u w:val="single"/>
                </w:rPr>
                <w:t>, 2026</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12">
              <w:r>
                <w:rPr>
                  <w:rStyle w:val="InternetLink"/>
                  <w:rFonts w:ascii="Times New Roman;serif" w:hAnsi="Times New Roman;serif"/>
                  <w:b w:val="false"/>
                  <w:color w:val="3051F2"/>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15">
              <w:r>
                <w:rPr>
                  <w:rStyle w:val="InternetLink"/>
                  <w:rFonts w:ascii="Times New Roman;serif" w:hAnsi="Times New Roman;serif"/>
                  <w:b w:val="false"/>
                  <w:color w:val="000080"/>
                  <w:sz w:val="20"/>
                  <w:u w:val="single"/>
                </w:rPr>
                <w:t xml:space="preserve">Condensed Consolidated Schedules of Investments as of </w:t>
              </w:r>
            </w:hyperlink>
            <w:hyperlink w:anchor="i5e0ca456da454a468510022e844409dc_115">
              <w:r>
                <w:rPr>
                  <w:rStyle w:val="InternetLink"/>
                  <w:rFonts w:ascii="Times New Roman;serif" w:hAnsi="Times New Roman;serif"/>
                  <w:b w:val="false"/>
                  <w:color w:val="000080"/>
                  <w:sz w:val="20"/>
                  <w:u w:val="single"/>
                </w:rPr>
                <w:t>June</w:t>
              </w:r>
            </w:hyperlink>
            <w:hyperlink w:anchor="i5e0ca456da454a468510022e844409dc_115">
              <w:r>
                <w:rPr>
                  <w:rStyle w:val="InternetLink"/>
                  <w:rFonts w:ascii="Times New Roman;serif" w:hAnsi="Times New Roman;serif"/>
                  <w:b w:val="false"/>
                  <w:color w:val="000080"/>
                  <w:sz w:val="20"/>
                  <w:u w:val="single"/>
                </w:rPr>
                <w:t xml:space="preserve"> 3</w:t>
              </w:r>
            </w:hyperlink>
            <w:hyperlink w:anchor="i5e0ca456da454a468510022e844409dc_115">
              <w:r>
                <w:rPr>
                  <w:rStyle w:val="InternetLink"/>
                  <w:rFonts w:ascii="Times New Roman;serif" w:hAnsi="Times New Roman;serif"/>
                  <w:b w:val="false"/>
                  <w:color w:val="000080"/>
                  <w:sz w:val="20"/>
                  <w:u w:val="single"/>
                </w:rPr>
                <w:t>0</w:t>
              </w:r>
            </w:hyperlink>
            <w:hyperlink w:anchor="i5e0ca456da454a468510022e844409dc_115">
              <w:r>
                <w:rPr>
                  <w:rStyle w:val="InternetLink"/>
                  <w:rFonts w:ascii="Times New Roman;serif" w:hAnsi="Times New Roman;serif"/>
                  <w:b w:val="false"/>
                  <w:color w:val="000080"/>
                  <w:sz w:val="20"/>
                  <w:u w:val="single"/>
                </w:rPr>
                <w:t>, 2026</w:t>
              </w:r>
            </w:hyperlink>
            <w:hyperlink w:anchor="i5e0ca456da454a468510022e844409dc_115">
              <w:r>
                <w:rPr>
                  <w:rStyle w:val="InternetLink"/>
                  <w:rFonts w:ascii="Times New Roman;serif" w:hAnsi="Times New Roman;serif"/>
                  <w:b w:val="false"/>
                  <w:color w:val="000080"/>
                  <w:sz w:val="20"/>
                  <w:u w:val="single"/>
                </w:rPr>
                <w:t xml:space="preserve"> (unaudited)</w:t>
              </w:r>
            </w:hyperlink>
            <w:hyperlink w:anchor="i5e0ca456da454a468510022e844409dc_115">
              <w:r>
                <w:rPr>
                  <w:rStyle w:val="InternetLink"/>
                  <w:rFonts w:ascii="Times New Roman;serif" w:hAnsi="Times New Roman;serif"/>
                  <w:b w:val="false"/>
                  <w:color w:val="000080"/>
                  <w:sz w:val="20"/>
                  <w:u w:val="single"/>
                </w:rPr>
                <w:t xml:space="preserve"> and December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15">
              <w:r>
                <w:rPr>
                  <w:rStyle w:val="InternetLink"/>
                  <w:rFonts w:ascii="Times New Roman;serif" w:hAnsi="Times New Roman;serif"/>
                  <w:b w:val="false"/>
                  <w:color w:val="3051F2"/>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both"/>
              <w:rPr/>
            </w:pPr>
            <w:hyperlink w:anchor="i5e0ca456da454a468510022e844409dc_121">
              <w:r>
                <w:rPr>
                  <w:rStyle w:val="InternetLink"/>
                  <w:rFonts w:ascii="Times New Roman;serif" w:hAnsi="Times New Roman;serif"/>
                  <w:b w:val="false"/>
                  <w:color w:val="0000FF"/>
                  <w:sz w:val="20"/>
                  <w:u w:val="single"/>
                </w:rPr>
                <w:t>Notes to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21">
              <w:r>
                <w:rPr>
                  <w:rStyle w:val="InternetLink"/>
                  <w:rFonts w:ascii="Times New Roman;serif" w:hAnsi="Times New Roman;serif"/>
                  <w:b w:val="false"/>
                  <w:color w:val="3051F2"/>
                  <w:sz w:val="20"/>
                  <w:u w:val="single"/>
                </w:rPr>
                <w:t>32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81">
              <w:r>
                <w:rPr>
                  <w:rStyle w:val="InternetLink"/>
                  <w:rFonts w:ascii="Times New Roman;serif" w:hAnsi="Times New Roman;serif"/>
                  <w:b w:val="false"/>
                  <w:color w:val="000000"/>
                  <w:sz w:val="20"/>
                  <w:u w:val="single"/>
                </w:rPr>
                <w:t xml:space="preserve">Item 2.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18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181">
              <w:r>
                <w:rPr>
                  <w:rStyle w:val="InternetLink"/>
                  <w:rFonts w:ascii="Times New Roman;serif" w:hAnsi="Times New Roman;serif"/>
                  <w:b w:val="false"/>
                  <w:color w:val="3051F2"/>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2">
              <w:r>
                <w:rPr>
                  <w:rStyle w:val="InternetLink"/>
                  <w:rFonts w:ascii="Times New Roman;serif" w:hAnsi="Times New Roman;serif"/>
                  <w:b w:val="false"/>
                  <w:color w:val="000000"/>
                  <w:sz w:val="20"/>
                  <w:u w:val="single"/>
                </w:rPr>
                <w:t xml:space="preserve">Item 3.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2">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62">
              <w:r>
                <w:rPr>
                  <w:rStyle w:val="InternetLink"/>
                  <w:rFonts w:ascii="Times New Roman;serif" w:hAnsi="Times New Roman;serif"/>
                  <w:b w:val="false"/>
                  <w:color w:val="3051F2"/>
                  <w:sz w:val="20"/>
                  <w:u w:val="single"/>
                </w:rPr>
                <w:t>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5">
              <w:r>
                <w:rPr>
                  <w:rStyle w:val="InternetLink"/>
                  <w:rFonts w:ascii="Times New Roman;serif" w:hAnsi="Times New Roman;serif"/>
                  <w:b w:val="false"/>
                  <w:color w:val="000000"/>
                  <w:sz w:val="20"/>
                  <w:u w:val="single"/>
                </w:rPr>
                <w:t xml:space="preserve">Item 4.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5">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65">
              <w:r>
                <w:rPr>
                  <w:rStyle w:val="InternetLink"/>
                  <w:rFonts w:ascii="Times New Roman;serif" w:hAnsi="Times New Roman;serif"/>
                  <w:b w:val="false"/>
                  <w:color w:val="3051F2"/>
                  <w:sz w:val="20"/>
                  <w:u w:val="single"/>
                </w:rPr>
                <w:t>64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8">
              <w:r>
                <w:rPr>
                  <w:rStyle w:val="InternetLink"/>
                  <w:rFonts w:ascii="Times New Roman;serif" w:hAnsi="Times New Roman;serif"/>
                  <w:b/>
                  <w:color w:val="000000"/>
                  <w:sz w:val="20"/>
                  <w:u w:val="single"/>
                </w:rPr>
                <w:t>Part II</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68">
              <w:r>
                <w:rPr>
                  <w:rStyle w:val="InternetLink"/>
                  <w:rFonts w:ascii="Times New Roman;serif" w:hAnsi="Times New Roman;serif"/>
                  <w:b/>
                  <w:color w:val="000000"/>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68">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1">
              <w:r>
                <w:rPr>
                  <w:rStyle w:val="InternetLink"/>
                  <w:rFonts w:ascii="Times New Roman;serif" w:hAnsi="Times New Roman;serif"/>
                  <w:b w:val="false"/>
                  <w:color w:val="000000"/>
                  <w:sz w:val="20"/>
                  <w:u w:val="single"/>
                </w:rPr>
                <w:t xml:space="preserve">Item 1.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1">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71">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4">
              <w:r>
                <w:rPr>
                  <w:rStyle w:val="InternetLink"/>
                  <w:rFonts w:ascii="Times New Roman;serif" w:hAnsi="Times New Roman;serif"/>
                  <w:b w:val="false"/>
                  <w:color w:val="000000"/>
                  <w:sz w:val="20"/>
                  <w:u w:val="single"/>
                </w:rPr>
                <w:t xml:space="preserve">Item 1A.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4">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74">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7">
              <w:r>
                <w:rPr>
                  <w:rStyle w:val="InternetLink"/>
                  <w:rFonts w:ascii="Times New Roman;serif" w:hAnsi="Times New Roman;serif"/>
                  <w:b w:val="false"/>
                  <w:color w:val="000000"/>
                  <w:sz w:val="20"/>
                  <w:u w:val="single"/>
                </w:rPr>
                <w:t xml:space="preserve">Item 2.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77">
              <w:r>
                <w:rPr>
                  <w:rStyle w:val="InternetLink"/>
                  <w:rFonts w:ascii="Times New Roman;serif" w:hAnsi="Times New Roman;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77">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0">
              <w:r>
                <w:rPr>
                  <w:rStyle w:val="InternetLink"/>
                  <w:rFonts w:ascii="Times New Roman;serif" w:hAnsi="Times New Roman;serif"/>
                  <w:b w:val="false"/>
                  <w:color w:val="000000"/>
                  <w:sz w:val="20"/>
                  <w:u w:val="single"/>
                </w:rPr>
                <w:t xml:space="preserve">Item 3.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0">
              <w:r>
                <w:rPr>
                  <w:rStyle w:val="InternetLink"/>
                  <w:rFonts w:ascii="Times New Roman;serif" w:hAnsi="Times New Roman;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80">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3">
              <w:r>
                <w:rPr>
                  <w:rStyle w:val="InternetLink"/>
                  <w:rFonts w:ascii="Times New Roman;serif" w:hAnsi="Times New Roman;serif"/>
                  <w:b w:val="false"/>
                  <w:color w:val="000000"/>
                  <w:sz w:val="20"/>
                  <w:u w:val="single"/>
                </w:rPr>
                <w:t xml:space="preserve">Item 4.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3">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83">
              <w:r>
                <w:rPr>
                  <w:rStyle w:val="InternetLink"/>
                  <w:rFonts w:ascii="Times New Roman;serif" w:hAnsi="Times New Roman;serif"/>
                  <w:b w:val="false"/>
                  <w:color w:val="3051F2"/>
                  <w:sz w:val="20"/>
                  <w:u w:val="single"/>
                </w:rPr>
                <w:t>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6">
              <w:r>
                <w:rPr>
                  <w:rStyle w:val="InternetLink"/>
                  <w:rFonts w:ascii="Times New Roman;serif" w:hAnsi="Times New Roman;serif"/>
                  <w:b w:val="false"/>
                  <w:color w:val="000000"/>
                  <w:sz w:val="20"/>
                  <w:u w:val="single"/>
                </w:rPr>
                <w:t xml:space="preserve">Item 5.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6">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86">
              <w:r>
                <w:rPr>
                  <w:rStyle w:val="InternetLink"/>
                  <w:rFonts w:ascii="Times New Roman;serif" w:hAnsi="Times New Roman;serif"/>
                  <w:b w:val="false"/>
                  <w:color w:val="3051F2"/>
                  <w:sz w:val="20"/>
                  <w:u w:val="single"/>
                </w:rPr>
                <w:t>66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9">
              <w:r>
                <w:rPr>
                  <w:rStyle w:val="InternetLink"/>
                  <w:rFonts w:ascii="Times New Roman;serif" w:hAnsi="Times New Roman;serif"/>
                  <w:b w:val="false"/>
                  <w:color w:val="000000"/>
                  <w:sz w:val="20"/>
                  <w:u w:val="single"/>
                </w:rPr>
                <w:t xml:space="preserve">Item 6. </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89">
              <w:r>
                <w:rPr>
                  <w:rStyle w:val="InternetLink"/>
                  <w:rFonts w:ascii="Times New Roman;serif" w:hAnsi="Times New Roman;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89">
              <w:r>
                <w:rPr>
                  <w:rStyle w:val="InternetLink"/>
                  <w:rFonts w:ascii="Times New Roman;serif" w:hAnsi="Times New Roman;serif"/>
                  <w:b w:val="false"/>
                  <w:color w:val="3051F2"/>
                  <w:sz w:val="20"/>
                  <w:u w:val="single"/>
                </w:rPr>
                <w:t>67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ca456da454a468510022e844409dc_292">
              <w:r>
                <w:rPr>
                  <w:rStyle w:val="InternetLink"/>
                  <w:rFonts w:ascii="Times New Roman;serif" w:hAnsi="Times New Roman;serif"/>
                  <w:b w:val="false"/>
                  <w:color w:val="0000FF"/>
                  <w:sz w:val="20"/>
                  <w:u w:val="single"/>
                </w:rPr>
                <w:t>Signatures</w:t>
              </w:r>
            </w:hyperlink>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ca456da454a468510022e844409dc_292">
              <w:r>
                <w:rPr>
                  <w:rStyle w:val="InternetLink"/>
                  <w:rFonts w:ascii="Times New Roman;serif" w:hAnsi="Times New Roman;serif"/>
                  <w:b w:val="false"/>
                  <w:color w:val="3051F2"/>
                  <w:sz w:val="20"/>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may contain forward-looking statements within the meaning of Section 27A of the 1933 Act, and Section 21E of the Securities Exchange Act of 1934, as amended (the “Exchange Act”), which involve certain known and unknown risks and uncertainties. Forward-looking statements predict or describe TPG Private Equity Opportunities Fund, L.P.’s (the “Fund’s”) future operations, business plans, business and investment strategies and portfolio management and the performance of the Fund’s investments. These forward-looking statements are generally identified by their use of such terms and phrases as “intend,” “goal,” “estimate,” “expect,” “remain,” “project,” “projections,” “plans,” “seeks,” “anticipates,” “will,” “should,” “could,” “may,” “designed to,” “foreseeable future,” “believe,” “scheduled” and similar expressions. The Fund’s actual results or outcomes may differ materially from those anticipated. You are cautioned not to place undue reliance on these forward-looking statements, which speak only as of the date the statement was made. Investors should not rely on these statements as if they were fact. The Fund assumes no obligation to publicly update or revise any forward-looking statements, whether as a result of new information, future events or otherwise, except as required by law. The forward-looking statements contained in this Quarterly Report on Form 10-Q may include statements as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operating results;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business prospects and the prospects of the portfolio companies in which the Fund indirectly invests;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impact of the acquisitions of investments that the Fund expects to make;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ability to raise sufficient capital to execute our acquisition strategies;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the Management Company to source adequate investment opportunities to efficiently deploy capital;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diversification of the Fund’s investments across sector, geography, industry, market capitalization, and transaction type;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current and expected financing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the general interest rate environment and inflation;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adequacy of the Fund’s cash resources, financing sources and working capital;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effect of global and national economic and market conditions generally upon our operating results, including, but not limited to, changes with respect to inflation, interest rate changes and supply chain disruptions, geopolitical uncertainty (including the imposition of tariffs and counter-tariffs), and changes in government rules, regulations and fiscal policies;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and amount of cash flows, distributions and dividends, if any, from the Fund’s investments;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actual and potential conflicts of interest with the Management Company or any of its affiliates;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dependence of the Fund’s future success on the general economy and its effect on the industries in the portfolio companies in which the Fund invests;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use of financial leverage;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ability to continue to offer quarterly redemptions, and satisfy redemption requests, pursuant to its redemption program, including the impact of any such redemptions on the Fund’s liquidity;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the Management Company or its affiliates to monitor and administer the Fund’s investments;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the Management Company or its affiliates to attract and retain highly talented professionals;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Fund’s ability to structure acquisitions in a tax-efficient manner and the effect of changes to tax legislation and its tax position.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 Fund believes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any projection or forward-looking statement in this Quarterly Report on Form 10-Q should not be regarded as a representation by the Fund that its plans and objectives will be achieved. These risks and uncertainties include, but are not limited to, those described in “Item 1A.—Risk Factors” herein and in our Annual Report on Form 10-K for the year ended December 31, 2025 filed with the United States Securities and Exchange Commission (“SEC”) on March 23, 2026, which is accessible on the SEC’s website at https://www.sec.gov and on our website at www.tpop.tpg.com, and “Item 2.—Management’s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the Fund assumes no duty and does not undertake to update the forward-looking statements, except as required by applicable law. Our website contains additional information about our business, but the contents of the website are not incorporated by reference in, or otherwise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TERMS USED IN THIS REPORT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“Aggregator” refers to T-POP US Aggregator (CYM), L.P., a Cayman Islands exempted limited partnership, in which the Registrant (as defined below) and other parallel investment entities (“Parallel Investment Entities” or individually “Parallel Investment Entity”) invest;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“Registrant” refers to TPG Private Equity Opportunities, L.P., a Delaware limited partnership, which is generally being offered to U.S. taxable investors, and that invests all or substantially all of its assets in the Aggregator;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“Feeder TE” refers to TPG Private Equity Opportunities (TE), L.P., a Delaware limited partnership, which is generally being offered to non-U.S. investors and U.S. tax-exempt investors, and that invests all or substantially all of its assets indirectly in Class I Units (as defined below) of the Registrant;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terms “Fund” and “T-POP” refer to the Registrant;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“T-POP Fund Complex” refers collectively to the Registrant, Feeder TE, the Parallel Investment Entities and the Aggregator;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“General Partner” refers to TPG Private Equity Opportunities GenPar, L.P., a Delaware limited partnership, as the general partner of each Partnership;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“Limited Partners” refers to the limited partners of T-POP, and references to the “applicable Partnership” mean that particular Partnership in which such Limited Partner invests and, unless the context otherwise requires, any subsidiaries thereof;</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“Management Company” refers to T-POP Management Company, LLC, a Delaware limited liability company which is responsible for portfolio management for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“Transactional NAV” refers to the price at which transactions in the Fund’s Units (as defined below) are made (as the context requires), calculated in accordance with a valuation policy that has been approved by the Registrant’s board of directors (“Board of Directors” or “Board”);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terms “TPG” and “Firm” refer collectively to TPG Operating Group I, L.P., TPG Operating Group II, L.P., TPG Operating Group III, L.P. (collectively, “TPG Operating Group”) and Angelo, Gordon &amp; Co., L.P. and their controlled funds, general partners and management companies and any of their affiliates, including TPG Inc.;</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“Units” refers to the classes of the Fund’s limited partnership units: Class S (“Class S” or the “Class S Units”), Class D (“Class D” or the “Class D Units”), Class I (“Class I” or the “Class I Units”), Class R-S (“Class R-S” or the “Class R-S Units”), Class R-D (“Class R-D” or the “Class R-D Units”), and Class R-I (“Class R-I” or the “Class R-I Units”) and Class F (“Class F” or the “Class F Units”) (each a “Class”);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“Investor Units” refers to Class S, Class D, Class I, Class R-S, Class R-D, Class R-I collectively;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“T-POP Investment Holdings Entities” refers to funds that the T-POP Fund Complex invests 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 is an emerging growth company as defined in the Jumpstart Our Business Startups Act of 2012 (the “JOBS Act”) and the Registrant takes advantage of the extended transition period provided in Section 7(a)(2)(B) of the Securities Act of 1933, as amended (the “1933 Act”).</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Assets and Liabilities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2616"/>
        <w:gridCol w:w="2254"/>
        <w:gridCol w:w="2272"/>
        <w:gridCol w:w="211"/>
        <w:gridCol w:w="976"/>
        <w:gridCol w:w="109"/>
        <w:gridCol w:w="109"/>
        <w:gridCol w:w="109"/>
        <w:gridCol w:w="109"/>
        <w:gridCol w:w="226"/>
        <w:gridCol w:w="1047"/>
        <w:gridCol w:w="167"/>
      </w:tblGrid>
      <w:tr>
        <w:trPr/>
        <w:tc>
          <w:tcPr>
            <w:tcW w:w="261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T-POP US Aggregator (CYM), L.P. (Cost $1,462,202 as of June 30, 2026; $894,810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1,051,028 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and Offering Costs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I, unlimited Units authorized, (17,465,079 Units issued and outstanding as of June 30, 2026; no Units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R-I, unlimited Units authorized, (10,162,469 Units issued and outstanding as of June 30, 2026; 20,070,838 Units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S, unlimited Units authorized, (969,006 Units issued and outstanding as of June 30, 2026; no Units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R-S, unlimited Units authorized, (17,738,049 Units issued and outstanding as of June 30, 2026; 12,446,958 Units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R-D, unlimited Units authorized, (348,256 Units issued and outstanding as of June 30, 2026; 170,356 Units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F, unlimited Units authorized, (5,754,840 Units issued and outstanding as of June 30, 2026; 969,858 Units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Net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1,051,028 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880"/>
        <w:gridCol w:w="1402"/>
        <w:gridCol w:w="1413"/>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8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2025</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494949"/>
                <w:sz w:val="18"/>
              </w:rPr>
            </w:pPr>
            <w:r>
              <w:rPr>
                <w:rFonts w:ascii="Times New Roman;serif" w:hAnsi="Times New Roman;serif"/>
                <w:b/>
                <w:color w:val="494949"/>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8"/>
              </w:rPr>
              <w:t>2025</w:t>
            </w:r>
            <w:r>
              <w:rPr>
                <w:rFonts w:ascii="Times New Roman;serif" w:hAnsi="Times New Roman;serif"/>
                <w:b/>
                <w:color w:val="000000"/>
                <w:sz w:val="12"/>
              </w:rPr>
              <w:t>(a)</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Organizational Expenses </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Expense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 in T-POP US Aggregator (CYM) L.P.</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Change in Gain (Loss)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 Attributable to T-POP</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 xml:space="preserve">(a)The period presented includes consolidated amounts of the T-POP US Aggregator (CYM), L.P. from June 2, 2025 (Commencement of Operations) through June 30, 2025. Please refer to </w:t>
      </w:r>
      <w:r>
        <w:rPr>
          <w:rFonts w:ascii="Times New Roman;serif" w:hAnsi="Times New Roman;serif"/>
          <w:b w:val="false"/>
          <w:i/>
          <w:color w:val="000000"/>
          <w:sz w:val="16"/>
        </w:rPr>
        <w:t>Note 2. Summary of Significant Accounting Policies</w:t>
      </w:r>
      <w:r>
        <w:rPr>
          <w:color w:val="000000"/>
        </w:rPr>
        <w:t xml:space="preserve"> </w:t>
      </w:r>
      <w:r>
        <w:rPr>
          <w:rFonts w:ascii="Times New Roman;serif" w:hAnsi="Times New Roman;serif"/>
          <w:b w:val="false"/>
          <w:color w:val="000000"/>
          <w:sz w:val="16"/>
        </w:rPr>
        <w:t>for additional information regarding the basis of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Net Assets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tbl>
      <w:tblPr>
        <w:tblW w:w="12260" w:type="dxa"/>
        <w:jc w:val="center"/>
        <w:tblInd w:w="0" w:type="dxa"/>
        <w:tblLayout w:type="fixed"/>
        <w:tblCellMar>
          <w:top w:w="28" w:type="dxa"/>
          <w:left w:w="28" w:type="dxa"/>
          <w:bottom w:w="28" w:type="dxa"/>
          <w:right w:w="28" w:type="dxa"/>
        </w:tblCellMar>
      </w:tblPr>
      <w:tblGrid>
        <w:gridCol w:w="684"/>
        <w:gridCol w:w="258"/>
        <w:gridCol w:w="25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211"/>
        <w:gridCol w:w="721"/>
        <w:gridCol w:w="109"/>
        <w:gridCol w:w="109"/>
        <w:gridCol w:w="109"/>
        <w:gridCol w:w="109"/>
        <w:gridCol w:w="109"/>
        <w:gridCol w:w="211"/>
        <w:gridCol w:w="826"/>
        <w:gridCol w:w="109"/>
        <w:gridCol w:w="109"/>
        <w:gridCol w:w="109"/>
        <w:gridCol w:w="109"/>
        <w:gridCol w:w="109"/>
        <w:gridCol w:w="109"/>
        <w:gridCol w:w="109"/>
        <w:gridCol w:w="109"/>
        <w:gridCol w:w="109"/>
        <w:gridCol w:w="109"/>
        <w:gridCol w:w="211"/>
        <w:gridCol w:w="97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Units Issued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(Loss)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689"/>
        <w:gridCol w:w="376"/>
        <w:gridCol w:w="377"/>
        <w:gridCol w:w="109"/>
        <w:gridCol w:w="109"/>
        <w:gridCol w:w="213"/>
        <w:gridCol w:w="835"/>
        <w:gridCol w:w="110"/>
        <w:gridCol w:w="109"/>
        <w:gridCol w:w="109"/>
        <w:gridCol w:w="109"/>
        <w:gridCol w:w="109"/>
        <w:gridCol w:w="109"/>
        <w:gridCol w:w="216"/>
        <w:gridCol w:w="738"/>
        <w:gridCol w:w="111"/>
        <w:gridCol w:w="109"/>
        <w:gridCol w:w="109"/>
        <w:gridCol w:w="109"/>
        <w:gridCol w:w="109"/>
        <w:gridCol w:w="109"/>
        <w:gridCol w:w="109"/>
        <w:gridCol w:w="109"/>
        <w:gridCol w:w="109"/>
        <w:gridCol w:w="109"/>
        <w:gridCol w:w="212"/>
        <w:gridCol w:w="726"/>
        <w:gridCol w:w="109"/>
        <w:gridCol w:w="109"/>
        <w:gridCol w:w="109"/>
        <w:gridCol w:w="109"/>
        <w:gridCol w:w="324"/>
        <w:gridCol w:w="948"/>
        <w:gridCol w:w="169"/>
        <w:gridCol w:w="109"/>
        <w:gridCol w:w="109"/>
        <w:gridCol w:w="109"/>
        <w:gridCol w:w="109"/>
        <w:gridCol w:w="109"/>
        <w:gridCol w:w="109"/>
        <w:gridCol w:w="109"/>
        <w:gridCol w:w="214"/>
        <w:gridCol w:w="838"/>
        <w:gridCol w:w="166"/>
      </w:tblGrid>
      <w:tr>
        <w:trPr/>
        <w:tc>
          <w:tcPr>
            <w:tcW w:w="68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Net Assets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p>
      <w:pPr>
        <w:pStyle w:val="TextBody"/>
        <w:bidi w:val="0"/>
        <w:spacing w:before="0" w:after="0"/>
        <w:jc w:val="center"/>
        <w:rPr/>
      </w:pPr>
      <w:r>
        <w:rPr/>
      </w:r>
    </w:p>
    <w:tbl>
      <w:tblPr>
        <w:tblW w:w="12260" w:type="dxa"/>
        <w:jc w:val="center"/>
        <w:tblInd w:w="0" w:type="dxa"/>
        <w:tblLayout w:type="fixed"/>
        <w:tblCellMar>
          <w:top w:w="28" w:type="dxa"/>
          <w:left w:w="28" w:type="dxa"/>
          <w:bottom w:w="28" w:type="dxa"/>
          <w:right w:w="28" w:type="dxa"/>
        </w:tblCellMar>
      </w:tblPr>
      <w:tblGrid>
        <w:gridCol w:w="578"/>
        <w:gridCol w:w="311"/>
        <w:gridCol w:w="3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211"/>
        <w:gridCol w:w="721"/>
        <w:gridCol w:w="109"/>
        <w:gridCol w:w="109"/>
        <w:gridCol w:w="109"/>
        <w:gridCol w:w="109"/>
        <w:gridCol w:w="109"/>
        <w:gridCol w:w="211"/>
        <w:gridCol w:w="826"/>
        <w:gridCol w:w="109"/>
        <w:gridCol w:w="109"/>
        <w:gridCol w:w="109"/>
        <w:gridCol w:w="109"/>
        <w:gridCol w:w="109"/>
        <w:gridCol w:w="109"/>
        <w:gridCol w:w="109"/>
        <w:gridCol w:w="109"/>
        <w:gridCol w:w="109"/>
        <w:gridCol w:w="109"/>
        <w:gridCol w:w="211"/>
        <w:gridCol w:w="976"/>
        <w:gridCol w:w="154"/>
      </w:tblGrid>
      <w:tr>
        <w:trPr/>
        <w:tc>
          <w:tcPr>
            <w:tcW w:w="5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2"/>
        <w:gridCol w:w="425"/>
        <w:gridCol w:w="426"/>
        <w:gridCol w:w="109"/>
        <w:gridCol w:w="109"/>
        <w:gridCol w:w="213"/>
        <w:gridCol w:w="835"/>
        <w:gridCol w:w="110"/>
        <w:gridCol w:w="109"/>
        <w:gridCol w:w="109"/>
        <w:gridCol w:w="109"/>
        <w:gridCol w:w="109"/>
        <w:gridCol w:w="109"/>
        <w:gridCol w:w="216"/>
        <w:gridCol w:w="738"/>
        <w:gridCol w:w="111"/>
        <w:gridCol w:w="109"/>
        <w:gridCol w:w="109"/>
        <w:gridCol w:w="109"/>
        <w:gridCol w:w="109"/>
        <w:gridCol w:w="109"/>
        <w:gridCol w:w="109"/>
        <w:gridCol w:w="109"/>
        <w:gridCol w:w="109"/>
        <w:gridCol w:w="109"/>
        <w:gridCol w:w="212"/>
        <w:gridCol w:w="726"/>
        <w:gridCol w:w="109"/>
        <w:gridCol w:w="109"/>
        <w:gridCol w:w="109"/>
        <w:gridCol w:w="109"/>
        <w:gridCol w:w="324"/>
        <w:gridCol w:w="948"/>
        <w:gridCol w:w="169"/>
        <w:gridCol w:w="109"/>
        <w:gridCol w:w="109"/>
        <w:gridCol w:w="109"/>
        <w:gridCol w:w="109"/>
        <w:gridCol w:w="109"/>
        <w:gridCol w:w="109"/>
        <w:gridCol w:w="109"/>
        <w:gridCol w:w="214"/>
        <w:gridCol w:w="838"/>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326,990 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685"/>
                <wp:effectExtent l="0" t="0" r="0" b="0"/>
                <wp:wrapNone/>
                <wp:docPr id="9"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728"/>
        <w:gridCol w:w="2316"/>
        <w:gridCol w:w="2327"/>
        <w:gridCol w:w="109"/>
        <w:gridCol w:w="211"/>
        <w:gridCol w:w="885"/>
        <w:gridCol w:w="109"/>
        <w:gridCol w:w="109"/>
        <w:gridCol w:w="109"/>
        <w:gridCol w:w="109"/>
        <w:gridCol w:w="211"/>
        <w:gridCol w:w="826"/>
        <w:gridCol w:w="156"/>
      </w:tblGrid>
      <w:tr>
        <w:trPr/>
        <w:tc>
          <w:tcPr>
            <w:tcW w:w="272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Increase in Net Assets From Operations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Investment in T-POP US Aggregator (CYM) L.P.</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Received In-Kind</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 Units Issued as Payment of Directors' Fees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due to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 (Decrease) in Organizational and Offering Costs Payable</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Management Fees Payable</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units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Units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Exchange for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4685"/>
                <wp:effectExtent l="0" t="0" r="0" b="0"/>
                <wp:wrapNone/>
                <wp:docPr id="10" name="Frame1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Schedules of Investment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37"/>
        <w:gridCol w:w="462"/>
        <w:gridCol w:w="468"/>
        <w:gridCol w:w="109"/>
        <w:gridCol w:w="109"/>
        <w:gridCol w:w="109"/>
        <w:gridCol w:w="340"/>
        <w:gridCol w:w="340"/>
        <w:gridCol w:w="341"/>
        <w:gridCol w:w="109"/>
        <w:gridCol w:w="109"/>
        <w:gridCol w:w="109"/>
        <w:gridCol w:w="334"/>
        <w:gridCol w:w="215"/>
        <w:gridCol w:w="206"/>
        <w:gridCol w:w="109"/>
        <w:gridCol w:w="109"/>
        <w:gridCol w:w="109"/>
        <w:gridCol w:w="337"/>
        <w:gridCol w:w="337"/>
        <w:gridCol w:w="338"/>
        <w:gridCol w:w="109"/>
        <w:gridCol w:w="109"/>
        <w:gridCol w:w="109"/>
        <w:gridCol w:w="301"/>
        <w:gridCol w:w="301"/>
        <w:gridCol w:w="302"/>
        <w:gridCol w:w="109"/>
        <w:gridCol w:w="109"/>
        <w:gridCol w:w="109"/>
        <w:gridCol w:w="211"/>
        <w:gridCol w:w="976"/>
        <w:gridCol w:w="109"/>
        <w:gridCol w:w="109"/>
        <w:gridCol w:w="109"/>
        <w:gridCol w:w="109"/>
        <w:gridCol w:w="109"/>
        <w:gridCol w:w="109"/>
        <w:gridCol w:w="434"/>
        <w:gridCol w:w="247"/>
        <w:gridCol w:w="618"/>
        <w:gridCol w:w="109"/>
        <w:gridCol w:w="162"/>
      </w:tblGrid>
      <w:tr>
        <w:trPr/>
        <w:tc>
          <w:tcPr>
            <w:tcW w:w="53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 T-POP US Aggregator (CYM) L.P. (50,668,648 Units)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$1,462,202)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8"/>
        <w:gridCol w:w="498"/>
        <w:gridCol w:w="505"/>
        <w:gridCol w:w="109"/>
        <w:gridCol w:w="109"/>
        <w:gridCol w:w="109"/>
        <w:gridCol w:w="345"/>
        <w:gridCol w:w="345"/>
        <w:gridCol w:w="346"/>
        <w:gridCol w:w="109"/>
        <w:gridCol w:w="109"/>
        <w:gridCol w:w="109"/>
        <w:gridCol w:w="334"/>
        <w:gridCol w:w="218"/>
        <w:gridCol w:w="209"/>
        <w:gridCol w:w="109"/>
        <w:gridCol w:w="109"/>
        <w:gridCol w:w="109"/>
        <w:gridCol w:w="338"/>
        <w:gridCol w:w="338"/>
        <w:gridCol w:w="339"/>
        <w:gridCol w:w="109"/>
        <w:gridCol w:w="109"/>
        <w:gridCol w:w="109"/>
        <w:gridCol w:w="304"/>
        <w:gridCol w:w="304"/>
        <w:gridCol w:w="305"/>
        <w:gridCol w:w="109"/>
        <w:gridCol w:w="109"/>
        <w:gridCol w:w="109"/>
        <w:gridCol w:w="211"/>
        <w:gridCol w:w="976"/>
        <w:gridCol w:w="109"/>
        <w:gridCol w:w="109"/>
        <w:gridCol w:w="109"/>
        <w:gridCol w:w="109"/>
        <w:gridCol w:w="109"/>
        <w:gridCol w:w="109"/>
        <w:gridCol w:w="444"/>
        <w:gridCol w:w="248"/>
        <w:gridCol w:w="731"/>
      </w:tblGrid>
      <w:tr>
        <w:trPr/>
        <w:tc>
          <w:tcPr>
            <w:tcW w:w="57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32" w:type="dxa"/>
            <w:gridSpan w:val="4"/>
            <w:tcBorders/>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r>
      <w:tr>
        <w:trPr/>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 T-POP US Aggregator (CYM) L.P. (33,286,504 Units)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$894,810)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(a)Refer to Note 3. “Investment in the Aggregator” for details on TPG Private Equity Opportunities, L.P.’s proportional share of investments through investees.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4685"/>
                <wp:effectExtent l="0" t="0" r="0" b="0"/>
                <wp:wrapNone/>
                <wp:docPr id="11" name="Frame1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L.P. (“T-POP” or the “Fund”) is a Delaware limited partnership formed on August 30, 2024 as a private fund exempt from registration under Section 3(c)(7) of the Investment Company Act of 1940, as amended (the “1940 Act”). T-POP’s investment objective is to generate investment returns by providing its Limited Partners with broad exposure to investments across the private equity strategies of TPG Inc. (“TPG”). Structured as a perpetual life investment solution, T-POP accepts fully funded subscriptions monthly and aims to provide limited partners a liquidity option by means of a quarterly 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conducts a continuous private offering of its units in reliance on exemptions from the registration requirements of the Securities Act of 1933, as amended (“1933 Act”), to investors that are both (a) accredited investors (as defined in Regulation D under the 1933 Act) and (b) qualified purchasers (as defined in the 1940 Act and the rules thereunder).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Private Equity Opportunities (TE) L.P. (the “Feeder”), a Delaware limited partnership, invests all or substantially all of its assets in T-POP. The Feeder was established for certain investors with particular tax characteristics, such as tax-exempt investors and certain non-U.S. investors.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(the “Aggregator Partnership Agreement”). T-POP and other parallel investment entities (“Parallel Investment Entities” or individually “Parallel Investment Entity”) invest all or substantially all of their assets through their investments in the Aggregator. The Condensed Consolidated Financial Statements of the Aggregator, including the Condensed Consolidated Schedule of Investments, are an integral part of T-POP’s financial statements and are included following these financial statements. T-POP, the Feeder, the Aggregator and its consolidated subsidiaries and any Parallel Investment Entity collectively form the “T-POP Fund Complex”.</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Investment operations commenced on June 2, 2025 (the “Commencement of Operations” or “Initial Closing Date”), when T-POP first sold Units in its continuous private offering and began investing. </w:t>
      </w:r>
      <w:r>
        <w:rPr>
          <w:rFonts w:ascii="Times New Roman;serif" w:hAnsi="Times New Roman;serif"/>
          <w:b w:val="false"/>
          <w:color w:val="000000"/>
          <w:sz w:val="20"/>
        </w:rPr>
        <w:t>T-POP’s fiscal year-end is December 31.</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GenPar, L.P., a Delaware limited partnership, is the general partner (the “General Partner”) of T-POP, Feeder TE and the Aggregator. Overall responsibility for oversight of T-POP rests with the General Partner, subject to certain oversight rights held by T-POP’s board of directors. The General Partner delegates T-POP’s portfolio management function to T-POP Management Company, LLC (the “Management Company”), a Delaware limited liability company. The Management Company has discretion to make investments on behalf of T-POP and is responsible for initiating, structuring and negotiating T-POP’s investments, as well as actively managing each investment to seek to maximize value. Both the General Partner and the Management Company are subsidiaries of TPG.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accompanying unaudited condensed financial statements (the “Condensed Financial Statements”) of T-POP have been prepared in accordance with accounting principles generally accepted in the United States of America (“GAAP”) and the instructions to Form 10-Q and reflect all adjustments, consisting only of normal recurring adjustments, which are, in the opinion of management, necessary for a fair presentation of the Condensed Financial Statements. T-POP is considered an investment company under GAAP and follows the accounting and reporting guidance applicable to investment companies in the Financial Accounting Standards Board Accounting Standards Codification (“ASC”) Topic 946, </w:t>
      </w:r>
      <w:r>
        <w:rPr>
          <w:rFonts w:ascii="Times New Roman;serif" w:hAnsi="Times New Roman;serif"/>
          <w:b w:val="false"/>
          <w:i/>
          <w:color w:val="000000"/>
          <w:sz w:val="20"/>
        </w:rPr>
        <w:t>Financial Services—Investment Companies (“ASC 946”)</w:t>
      </w:r>
      <w:r>
        <w:rPr>
          <w:rFonts w:ascii="Times New Roman;serif" w:hAnsi="Times New Roman;serif"/>
          <w:b w:val="false"/>
          <w:color w:val="000000"/>
          <w:sz w:val="20"/>
        </w:rPr>
        <w:t>. The operating results presented for interim periods are not necessarily indicative of the results that may be expected for any other interim period or for the entire year. These Condensed Financial Statements should be read in conjunction with the audited financial statements included in T-POP’s Annual Report on Form 10-K for the year ended December 31, 2025,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77850"/>
                <wp:effectExtent l="0" t="0" r="0" b="0"/>
                <wp:wrapNone/>
                <wp:docPr id="12" name="Frame12"/>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provided under ASC 946, T-POP generally does not consolidate an investee unless T-POP has a controlling financial interest in (a) an investment company or (b) an operating company whose business consists of providing services to T-POP. T-POP does not have a controlling financial interest in, and as a result, does not consolidate the Aggregator, nor any other reporting entities within the T-POP Fund Complex, because (a) the General Partner is not acting solely on behalf of T-POP as it carries out its duties and (b) T-POP does not absorb substantially all of the Aggregator’s variability. At each reporting date, T-POP assesses whether it has a controlling financial interest in the Aggregator or any other reporting entities within the T-POP Fund Complex, and any associated consolidation implications.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June 2, 2025 (Commencement of Operations) through September 30, 2025, T-POP consolidated the Aggregator. On October 1, 2025, the Aggregator received additional capital contributions from a Parallel Investment Entity. As a result, T-POP determined that it no longer holds a controlling financial interest in the Aggregator. Accordingly, T-POP deconsolidated the Aggregator and measured its investment in the Aggregator at fair value, using the Aggregator’s reported NAV as a practical expedient. The deconsolidation did not have a material impact on the Fund’s financial position, ongoing operations, or cash flows.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Condensed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Valuation of Investments at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indirect exposure to gains and losses on underlying investments because it invests in the Aggregator which, in turn, holds such underlying investments through the Aggregator’s subsidiaries. Valuations of investments held by the Aggregator are disclosed in the notes to the Aggregator’s Condensed Consolidated Financial Statements. For information regarding net realized and change in unrealized gains and losses on such investments held indirectly by T-POP, see the Aggregator’s Condensed Consolidated Financial Statements included following these Condensed Financial Statements and see Note 3. “Investments and Fair Value Measurement” in the Notes to Condensed Consolidated Financial Statements of the Aggregator for information regarding the valuation of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measures its investment in the Aggregator at fair value using the net asset value of the Aggregator. The net asset value of the Aggregator is considered a practical expedient that represents fair value as (a) the investment does not have a readily determinable fair value because the Aggregator’s net asset value is not published or the basis for current transactions, (b) the Aggregator is an investment company and (c) the net asset value of the Aggregator is calculated in a manner in which all of its investments are reported at fair value as of the measurement date. Changes in the fair value of T-POP’s investment in the Aggregator are presented within Net Change in Unrealized Gain (Loss) on Investment in T-POP US Aggregator (CYM) L.P. in the Condensed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Equivalents represent cash held in money market funds, treasury bills and other short‐term highly liquid investments with original maturities of three months or less. Income from money market funds is recorded as Dividend Income and Interest Income in the Condensed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77850"/>
                <wp:effectExtent l="0" t="0" r="0" b="0"/>
                <wp:wrapNone/>
                <wp:docPr id="13" name="Frame13"/>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T-POP may be considered a publicly traded partnership and not meet the qualifying income exception in certain years. In such a scenario, T-POP would be treated as a publicly traded partnership taxed as a corporation, rather than a partnership. The investors of T-POP would be treated as shareholders in a corporation, and T-POP itself would become taxable as a corporation for U.S. federal, state and/or local income tax purposes. T-POP would be required to pay income tax at corporate rates on its net taxable income. In addition, T-POP may operate, in part, through subsidiaries that may be treated as corporations for U.S. and non-U.S. tax purposes and therefore may be subject to current and deferred U.S. federal, state and/or local income taxes at the subsidiary level.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T-POP reevaluates its tax positions each period in which new information becomes available. T-POP’s policy is to recognize tax related interest and penalties, if applicable, as a component of the provision for income taxes on the Condensed Statement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Calculation of Net Asset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Asset Value (the “NAV”) under U.S. GAAP by unit class is calculated by subtracting total liabilities for each class from the total carrying amount of all assets for that class, which includes the fair value of investments. At the end of each month, any change in T-POP’s NAV (whether an increase or decrease) is allocated among each unit class based on the relative percentage of the previous aggregate NAV for each unit class, adjusted for issuances of units that were effective on the first calendar day of such month and repurchases that were effective on the last calendar day of such month. NAV per unit for each class is calculated by dividing the NAV for that class by the total number of outstanding units of that class on the reporting date. The Management Company is ultimately responsible for T-POP’s NAV calculations.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and Interest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there was no dividend and interest income earned by the Registrant.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Realized Gains or Losses and Net Change in Unrealized Gain (Loss) on Investments and Derivative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gains or losses will be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77850"/>
                <wp:effectExtent l="0" t="0" r="0" b="0"/>
                <wp:wrapNone/>
                <wp:docPr id="14" name="Frame14"/>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 Participation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or any other entity designated by the General Partner, receives a performance participation allocation (“Performance Participation Allocation”) by T-POP equal to 12.5% of total return subject to a 5% annual hurdle amount and a highwater mark with a 100% catch-up. The Performance Participation Allocation will be measured and distributed on a calendar year basis and accrued monthly (subject to pro-rating for partial periods), and without taking into account accrued and unpaid taxes of any intermediate entity through which T-POP indirectly invests in an investment or taxes paid by any such intermediate entity during the applicable period. The General Partner will also be distributed a Performance Participation Allocation in conjunction with redemptions of Investor Units. The General Partner may elect to receive the Performance Participation Allocation in cash, units and/or shares or units of intermediate entities. If the Performance Participation Allocation is paid in T-POP units, such units may be repurchased at the General Partner’s request and will be subject to certain limitations.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Organizational and Offering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the one-year anniversary of the Initial Closing, organization and offering expenses are paid by the Management Company. After T-POP accepted third party investors and commenced investment operations, all costs incurred associated with the organization of T-POP were expensed. Costs associated with the offering of Class S, Class R-S, Class D, Class R-D, Class I, Class R-I and Class F units of T-POP are capitalized as deferred expense and included as an asset on the Condensed Statements of Assets and Liabilities and amortized over a twelve-month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Dealer Manager Agreement (the “Dealer Manager Agreement”) entered into between T-POP, the Feeder TE and TPG Capital BD, LLC (the “Dealer Manager”), T-POP or its affiliates will pay to the Dealer Manager a Servicing Fee (the “Servicing Fees”) in the amount of (a) 0.85% per annum of the aggregate NAV for the Class S Units and Class R-S Units as of the last day of each month and (b) 0.25% per annum of the aggregate NAV for the Class D Units and Class R-D Units as of the last day of each month, in each case, payable monthly. The Dealer Manager anticipates that all or a portion of the Servicing Fees will be retained by, or reallocated (paid) to, participating brokers or other financial intermediaries. T-POP or its affiliates will not pay to the Dealer Manager a Servicing Fee in respect of the purchase of any Class I Units, Class R-I Units and Class F Units. In calculating the Servicing Fee, T-POP will use its NAV before giving effect to any accruals for the Servicing Fee, repurchases for that month, if any, and distributions payable on the T-POP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accrues the cost of the Servicing Fees, as applicable, for the estimated life of the units at the time we sell Class S Units, Class R-S Units, Class D Units, and Class R-D Units.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was established by TPG to provide eligible investors with access to TPG’s private equity franchise through a single investment. By leveraging the investment capabilities of TPG, T-POP aims to provide investors a pure play private equity alternative that benefits from TPG’s business building capabilities and strategic orientation towards attractive, growing sectors, and thereby serve as a core private equity allocation within its investors’ portfolios.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operates through a single reportable segment with an investment objective of generating investment returns by providing its Limited Partners with broad exposure to investments across the private equity strategies of TPG. The chief operating decision maker (the “CODM”) is T-POP’s Chief Executive Officer. The CODM assesses the performance of, allocates resources to and makes operating decisions for T-POP primarily based on T-POP’s Net Increase in Net Assets Resulting from Operations. As T-POP is a single segment, there is no difference between segment assets and total assets as presented on the Condensed Statements of Assets and Liabilities and significant segment expenses are the same as those listed on the Condensed Statements of Operations. As the Fund operates as a single segment, the accounting policies utilized by the segment are consistent with those included in the Condensed Financial Statements here within.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77850"/>
                <wp:effectExtent l="0" t="0" r="0" b="0"/>
                <wp:wrapNone/>
                <wp:docPr id="15" name="Frame15"/>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Investment in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an interest of 80.2% in the Aggregator as of June 30, 2026. The remaining interest in the Aggregator is held by a Parallel Investment Entity. T-POP’s interest in the Aggregator may result in T-POP indirectly holding investments of the Aggregator that, on a proportional basis, at times may exceed 5% of the net assets of T-POP. For a listing of investments that may proportionally exceed 5% of T-POP’s net assets, see the Condensed Consolidated Schedule of Investments of the Aggregator.</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2. “Summary of Significant Accounting Policies” under Basis of Consolidation, T-POP consolidated the Aggregator through September 30, 2025. Effective October 1, 2025, T</w:t>
        <w:noBreakHyphen/>
        <w:t>POP determined that it no longer held a controlling financial interest and as a result deconsolidated the Aggregator. Upon deconsolidation, T</w:t>
        <w:noBreakHyphen/>
        <w:t>POP measured its retained investment at fair value, using the Aggregator’s reported net asset value as a practical expedient.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Net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its formation, T-POP has the authority to issue an unlimited number of units of each unit class.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offers, on a monthly basis, in a continuous private placement, seven classes of limited partnership units: Class S, Class R-S, Class D, Class R-D, Class I, Class R-I and Class F units. Class S/Class R-S and Class D/Class R-D units bear a Servicing Fee in an amount equal to, on an annualized basis, 0.85% and 0.25%, respectively, of the Transactional NAV of each class of units as of the last day of each month. In calculating the Servicing Fee, T-POP uses the Transactional NAV before giving effect to any accruals for the Servicing Fee, repurchases, if any, for that month and distributions payable on T-POP’s units. No Servicing Fee is payable with respect to Class I, Class R-I or Class F units. The purchase price per unit of each class is equal to the Transactional NAV per unit for such class as of the last calendar day of the immediately preceding month. Before T-POP determined its first Transactional NAV, the initial subscription price for units was $25.00 per unit.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financial intermediaries through which a limited partner is placed in T-POP may charge the limited partner upfront selling commissions, placement fees, subscription fees or similar fees (“Subscription Fees”) of up to (a) 3.5% of Transactional NAV on Class S and Class R-S units and (b) 1.5% of Transactional NAV on Class D and Class R-D units sold in the offering. These Subscription Fees are paid by the limited partner outside of its investment in T-POP and not reflected in T-POP’s Transactional NAV.</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30, 2024, the General Partner and TPG LP A, Inc., an affiliate of the Management Company (the “Initial Limited Partner”), agreed to contribute one dollar each as T-POP’s initial capital contribution to form the TPG Private Equity Opportunities, L.P. partnership (the “August 2024 Contribution”). On January 14, 2025 and January 28, 2025, T-POP received in cash an aggregate contribution of twenty-five dollars (inclusive of the August 2024 Contribution) from the General Partner in exchange for one Class F Unit of T-POP and nine hundred seventy-five dollars (inclusive of the August 2024 Contribution) from the Initial Limited Partner in exchange for 39 Class F Units of T-POP.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77850"/>
                <wp:effectExtent l="0" t="0" r="0" b="0"/>
                <wp:wrapNone/>
                <wp:docPr id="16" name="Frame16"/>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transactions in the Units during the periods:</w:t>
      </w:r>
    </w:p>
    <w:tbl>
      <w:tblPr>
        <w:tblW w:w="10205" w:type="dxa"/>
        <w:jc w:val="center"/>
        <w:tblInd w:w="0" w:type="dxa"/>
        <w:tblLayout w:type="fixed"/>
        <w:tblCellMar>
          <w:top w:w="28" w:type="dxa"/>
          <w:left w:w="28" w:type="dxa"/>
          <w:bottom w:w="28" w:type="dxa"/>
          <w:right w:w="28" w:type="dxa"/>
        </w:tblCellMar>
      </w:tblPr>
      <w:tblGrid>
        <w:gridCol w:w="452"/>
        <w:gridCol w:w="396"/>
        <w:gridCol w:w="399"/>
        <w:gridCol w:w="469"/>
        <w:gridCol w:w="358"/>
        <w:gridCol w:w="185"/>
        <w:gridCol w:w="109"/>
        <w:gridCol w:w="109"/>
        <w:gridCol w:w="109"/>
        <w:gridCol w:w="109"/>
        <w:gridCol w:w="109"/>
        <w:gridCol w:w="614"/>
        <w:gridCol w:w="467"/>
        <w:gridCol w:w="185"/>
        <w:gridCol w:w="109"/>
        <w:gridCol w:w="109"/>
        <w:gridCol w:w="109"/>
        <w:gridCol w:w="540"/>
        <w:gridCol w:w="541"/>
        <w:gridCol w:w="189"/>
        <w:gridCol w:w="109"/>
        <w:gridCol w:w="109"/>
        <w:gridCol w:w="109"/>
        <w:gridCol w:w="454"/>
        <w:gridCol w:w="375"/>
        <w:gridCol w:w="189"/>
        <w:gridCol w:w="109"/>
        <w:gridCol w:w="109"/>
        <w:gridCol w:w="109"/>
        <w:gridCol w:w="548"/>
        <w:gridCol w:w="550"/>
        <w:gridCol w:w="188"/>
        <w:gridCol w:w="109"/>
        <w:gridCol w:w="109"/>
        <w:gridCol w:w="109"/>
        <w:gridCol w:w="488"/>
        <w:gridCol w:w="488"/>
        <w:gridCol w:w="277"/>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Class F Units</w:t>
            </w:r>
            <w:r>
              <w:rPr>
                <w:rFonts w:ascii="Times New Roman;serif" w:hAnsi="Times New Roman;serif"/>
                <w:b/>
                <w:color w:val="000000"/>
                <w:sz w:val="12"/>
              </w:rPr>
              <w:t>(a)</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December 31, 2025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12,446,958 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20,070,838 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3,552,747 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6,609,151 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redeemed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March 31, 2026</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15,993,256 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332,250 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26,643,440 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1,235,417 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1,838,512 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3,279,988 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554,522 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Units Between Classes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15,645,028 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(19,724,623)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3,965,781 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redeemed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June 30, 2026</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969,006 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17,465,079 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17,738,049 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10,162,469 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5,754,840 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(a)Class F includes 18,836 of cumulative issued units to the Board of Directors of T-POP in accordance with their Restricted Unit Award Agreement.</w:t>
      </w:r>
    </w:p>
    <w:tbl>
      <w:tblPr>
        <w:tblW w:w="9189" w:type="dxa"/>
        <w:jc w:val="left"/>
        <w:tblInd w:w="0" w:type="dxa"/>
        <w:tblLayout w:type="fixed"/>
        <w:tblCellMar>
          <w:top w:w="28" w:type="dxa"/>
          <w:left w:w="28" w:type="dxa"/>
          <w:bottom w:w="28" w:type="dxa"/>
          <w:right w:w="28" w:type="dxa"/>
        </w:tblCellMar>
      </w:tblPr>
      <w:tblGrid>
        <w:gridCol w:w="1321"/>
        <w:gridCol w:w="1159"/>
        <w:gridCol w:w="1165"/>
        <w:gridCol w:w="109"/>
        <w:gridCol w:w="109"/>
        <w:gridCol w:w="109"/>
        <w:gridCol w:w="109"/>
        <w:gridCol w:w="109"/>
        <w:gridCol w:w="109"/>
        <w:gridCol w:w="444"/>
        <w:gridCol w:w="444"/>
        <w:gridCol w:w="447"/>
        <w:gridCol w:w="109"/>
        <w:gridCol w:w="109"/>
        <w:gridCol w:w="109"/>
        <w:gridCol w:w="109"/>
        <w:gridCol w:w="109"/>
        <w:gridCol w:w="434"/>
        <w:gridCol w:w="434"/>
        <w:gridCol w:w="436"/>
        <w:gridCol w:w="109"/>
        <w:gridCol w:w="109"/>
        <w:gridCol w:w="109"/>
        <w:gridCol w:w="403"/>
        <w:gridCol w:w="403"/>
        <w:gridCol w:w="573"/>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Class F Units </w:t>
            </w:r>
            <w:r>
              <w:rPr>
                <w:rFonts w:ascii="Times New Roman;serif" w:hAnsi="Times New Roman;serif"/>
                <w:b/>
                <w:color w:val="000000"/>
                <w:sz w:val="12"/>
              </w:rPr>
              <w:t>(a)</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967,736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967,776</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(a)Class F includes 7,776 of cumulative issued units to the Board of Directors of T-POP in accordance with their Restricted Unit Award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Redemption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implemented a redemption program (the “Redemption Program”) in which it offers its limited partners the opportunity to redeem units outstanding. Under the Redemption Program, to the extent T-POP offers to redeem Units in any particular quarter, T-POP redeems Units using a purchase price equal to T-POP’s Transactional NAV per Unit as of the last calendar day of the applicable quarter (the “Redemption Date”), subject to the Early Redemption Deduction (as defined below). The Redemption Program has a limit of up to 5% of the aggregate units outstanding (by aggregate Transactional NAV of T-POP (including Transactional NAV attributable to any feeder fund) and any Parallel Investment Entity) as of the last calendar day of the immediately preceding calendar quarter. Redemption offers commenced the second full quarter following the Initial Closing. Such redemptions are subject to T-POP’s limited partnership agreement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redemption requests of Units that have been outstanding for fewer than two years will be subject to an early redemption deduction equal to 5% of the value of T-POP’s Transactional NAV of the Units being redeemed (calculated as of the Redemption Date) (the “Early Redemption Deduction”) for the benefit of T-POP and its Limited Partners, subject to certain exceptions.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Transactional NAV for each unit class is calculated monthly by the Management Company. The Transactional NAV is based on the month-end values of investments, the addition of the value of any other assets such as cash, and the deduction of any liabilities, including the accrual and allocation of the Management Fee, the Performance Participation Allocation and the Maintenance Fee and the deduction of expenses attributable to certain unit classes, such as applicable Servicing Fees. The redemption price per unit for each unit class as of June 30, 2026 is $34.10 for Class R-S Units, $34.32 for Class R-D Units, $34.42 for Class R-I Units, $34.40 for Class I Units, $34.08 for Class S Units, and $36.13 for Class F Units, subject to any Early Redemption Deduction. For the three and six months ended June 30, 2026, 23,453 and 29,902 Units of Class R-S Units were redeemed for an aggregate value of $0.8 million and $1.0 million, respectively. No Class R-D Units, Class R-I Units, Class I Units, Class S Units, and Class F Units were redeemed as part of the Redemption Program during the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77850"/>
                <wp:effectExtent l="0" t="0" r="0" b="0"/>
                <wp:wrapNone/>
                <wp:docPr id="17" name="Frame17"/>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Feeder Expenses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55,677 and 92,226 Units of Class R-I, Class F, and Class I held by the Feeder were retired in connection with paying ordinary course expenses at the Feeder. Such retired units are reflected in the redemptions line item of the Condensed Statements of Changes in Net Assets for $3.0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has entered into a limited partnership agreement as amended and restated with the General Partner. Under the terms of the T-POP’s Partnership Agreement, overall responsibility for T-POP’s oversight rests with the General Partner, subject to certain oversight rights held by the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 Participation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or any other entity designated by the General Partner, is allocated a Performance Participation Allocation by T-POP equal to 12.5% of total return subject to a 5% annual hurdle amount and a high water mark with 100% catch-up. Such allocation is measured on a calendar year basis, distributed or allocated annually and accrued monthly (subject to pro-rating for partial periods), and without taking into account accrued and unpaid taxes of any intermediate entity through which T-POP indirectly invests in an investment or taxes paid by any such intermediate entity during the applicable month. The General Partner may elect to receive the Performance Participation Allocation in cash, units and/or shares or units of intermediate entities. If the Performance Participation Allocation is paid in T-POP units, such units may be redeemed at the General Partner’s request and is subject to certain limitations. For the three and six months ended June 30, 2026, T-POP recognized Performance Participation Allocation of $19.8 million and $22.7 million, respectively, in the Condensed Statement of Operations. For the three and six months ended June 30, 2025, T-POP recognized Performance Participation Allocation of $1.6 million in the Condensed Statement of Operations. In January 2026, T-POP settled a total of $16.7 million of Accrued Performance Participation Allocation. T-POP satisfied $8.3 million of this liability through issuance of 263,187 Class F Units to the General Partner and paid the remaining $8.3 million in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entered into a management agreement with the Management Company (the “Management Agreement”). The Management Company shall provide portfolio management, risk management and other services to the Fund (and in the General Partner’s discretion, to any subsidiary of the Fund) during the term as the Fund and the Management Company shall reasonably agree.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its investment management services, T-POP pays the Management Company a management fee (the “Management Fee”), in accordance with the Management Agreement, calculated and payable monthly in arrears, equal to, for each calendar month, commencing six calendar months after the Initial Closing, in the aggregate, (i) 1.25% of T-POP’s Transactional NAV per annum of the Class S, Class D and Class I units and (ii) 1.00% of T-POP’s Transactional NAV per annum of the Class R-S, Class R-D and Class R-I units for a 36-month period following the sixth-month anniversary of the Initial Closing, and 1.25% of T-POP’s Transactional NAV per annum of such units thereafter, in each case, before giving effect to any accruals for the Management Fee, the Servicing Fee (as defined below), the Performance Participation Allocation, the Maintenance Fee (as defined below), any repurchases (and pending repurchases), any distributions and without taking into account any accrued and unpaid taxes of any intermediate entity through which T-POP indirectly invests in an investment or taxes paid by any such intermediate entity during the applicable month.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may elect to receive the Management Fee in cash, units of T-POP or any Parallel Investment Entities, and/or shares or units of intermediate entities. If the Management Fee is paid in T-POP units, such units may be repurchased at the Management Company’s request and will be subject to certain limitations. For the three and six months ended June 30, 2026, T-POP recognized management fees of $2.4 million and $4.3 million, respectively, in the Condensed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77850"/>
                <wp:effectExtent l="0" t="0" r="0" b="0"/>
                <wp:wrapNone/>
                <wp:docPr id="18" name="Frame18"/>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Maintenance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consideration for its operational services, the Management Company is entitled to receive a maintenance fee (the “Maintenance Fee”) from T-POP (directly or indirectly through an intermediate entity) payable in cash monthly in arrears equal to, in the aggregate, 0.10% of T-POP’s Transactional NAV per annum, before giving effect to any accruals for the Management Fee, the Servicing Fee, the Performance Participation Allocation, the Maintenance Fee, any repurchases (and pending repurchases), any distributions and without taking into account accrued and unpaid taxes of any intermediate entity through which T-POP indirectly invests in an investment or taxes paid by any such intermediate entity during the applicable month. For the three and six months ended June 30, 2026, T-POP recognized maintenance fees of $0.4 million and $0.7 million, respectively, included within Other Expenses in the Condensed Statement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Dealer Manager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entered into a Dealer Manager Agreement with TPG Capital BD, LLC, a broker-dealer registered with the SEC under the Securities Exchange Act of 1934, as amended, and a member of the Financial Industry Regulatory Authority. Pursuant to the Dealer Manager Agreement, the Dealer Manager manages T-POP’s relationships with third-party brokers engaged by the Dealer Manager to participate in the distribution of units, which are referred to as participating brokers, and financial advisors. The Dealer Manager also coordinates T-POP’s marketing and distribution efforts with participating brokers and their registered representatives with respect to communications related to the terms of T-POP’s offering, its investment strategies, material aspects of its operations and subscription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Dealer Manager is entitled to receive Servicing Fees monthly in arrears at an annual rate of 0.85% of the value of T-POP’s Transactional NAV attributable to Class S and Class R-S units as of the last day of each month. The Dealer Manager is entitled to receive the Servicing Fees monthly in arrears at an annual rate of 0.25% of the value of T-POP’s Transactional NAV attributable to Class D and Class R-D units as of the last day of each month. There are no Servicing Fees with respect to Class I, Class R-I and Class F units. The Servicing Fees are payable to the Dealer Manager, but the Dealer Manager anticipates that all or a portion of such fees will be retained by, or reallocated (paid) to, participating brokers or other financial intermediaries. See Note 4. “Net Assets” for further details.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accrues the cost of the servicing fees, as applicable, for the estimated life of the Units as at the time Class R-S and Class R-D Units are sold. Accrued servicing fees as of June 30, 2026 were $15.1 million for Class R-S Units, $1.0 million for Class S Units, and $0.1 million for Class R-D Units. Accrued servicing fees as of December 31, 2025 were $11.3 million for Class R-S Units and $0.05 million for Class R-D Units.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Feeder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Fund (TE) L.P. (the “Feeder”) is a feeder vehicle for T-POP. The Feeder was established to allow certain investors with particular tax characteristics, such as tax-exempt investors and non-U.S. investors, to participate in T-POP in a more efficient manner. The Feeder is obligated to bear (without duplication) its proportional share of the Management Fee based on its proportional interest in the aggregator entity in which T-POP invests. Investors in the Feeder indirectly bear a portion of the Performance Participation Allocation payable by T-POP, but such expenses are not duplicated at the Feeder level.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Management Company, Dealer Manager, Feeder TE, and Parallel Investment Entities, the Aggregator, and other vehicles sponsored, advised and/or managed by TPG or its affiliates are affiliates of T-POP. The General Partner and its affiliates held 1,223,194 and 960,000 of Class F Units issued as of June 30, 2026 and December 31,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Transfer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2025 T-POP and the Management Company entered into a transfer agreement (the “Transfer Agreement”) with various affiliated entities of the General Partner (the “Transferors”). In accordance with the Transfer Agreement, T-POP purchased at historical cost (indirectly through the Aggregator) $400.5 million of investments that have been warehoused by the Transferors in connection with T-POP’s formation (the “Warehoused Investments”).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77850"/>
                <wp:effectExtent l="0" t="0" r="0" b="0"/>
                <wp:wrapNone/>
                <wp:docPr id="19" name="Frame19"/>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transactions were approved by T-POP’s independent directors. As of December 31, 2025, all investments have been transferred from the warehouse to T-POP (indirectly through the Aggregator).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has agreed to advance organizational and offering expenses, other than subscription fees and Servicing Fees related to Class S, Class R-S, Class D and Class R-D units, on T-POP’s behalf through the first anniversary of T-POP’s Initial Closing. T-POP will reimburse the Management Company for all such advanced expenses ratably over the 60 months following the anniversary of the Initial Closing. As of June 30, 2026, the Management Company and its affiliates have incurred organizational and offering expenses amounting to $1.7 million on T-POP’s behalf which are recorded as Organization and Offering Costs Payable in the Condensed Statements of Assets and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information regarding investment commitments, see the Aggregator’s Condensed Consolidated Financial Statements. To the extent funded, these investments are expected to reside at the Aggregator but may be funded from T-POP’s available liquidity, including proceeds from the issuance of Units by T-POP and available borrowing capacity under the Line of Credit at the Aggregator. For information regarding the Line of Credit, see Note 5. “Line of Credit Arrangement” within the Notes to the Aggregator’s Condensed Consolidated Financial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may, from time to time, be party to various legal matters arising in the ordinary course of business, including claims and litigation proceedings. As of June 30, 2026, T-POP was not subject to any material litigation nor was T-POP aware of any material litigation threatened against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T-POP has not identified any uncertain tax positions that require recognition or disclosure. The Fund files its tax returns as prescribed by the tax laws of the jurisdictions in which it operates. In the normal course of business, the Fund is subject to examination by U.S. federal, state, local and foreign tax authorities. Although the outcome of tax audits is always uncertain, the Fund does not believe the outcome of any future audit will have a material adverse effect on the Fund’s Condensed Financial Statements.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among other provisions, includes an extension of certain expiring elements of the Tax Cuts and Jobs Act. The legislation has multiple effective dates, with certain provisions effective in 2025 and others implemented through 2027. The OBBBA did not have a material impact to T-POP’s financial statements for the six months ended June 30, 2026. T-POP will continue to evaluate its future impact as regulations are issued by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77850"/>
                <wp:effectExtent l="0" t="0" r="0" b="0"/>
                <wp:wrapNone/>
                <wp:docPr id="20" name="Frame20"/>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are the financial highlights of the Fund attributed to each Class of Units: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8"/>
        <w:gridCol w:w="217"/>
        <w:gridCol w:w="171"/>
        <w:gridCol w:w="211"/>
        <w:gridCol w:w="616"/>
        <w:gridCol w:w="271"/>
        <w:gridCol w:w="109"/>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9"/>
      </w:tblGrid>
      <w:tr>
        <w:trPr/>
        <w:tc>
          <w:tcPr>
            <w:tcW w:w="13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473" w:type="dxa"/>
            <w:gridSpan w:val="6"/>
            <w:tcBorders/>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R-S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F Units</w:t>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Unit Data</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Change in Unrealized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End of Period</w:t>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5,754,840</w:t>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Return Based on Net Asset Value</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Ratios to Weighted-Average Net Assets (Non-Annualized)</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without Accrued Performance Participation Allocation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Expenses</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27"/>
        <w:gridCol w:w="1432"/>
        <w:gridCol w:w="1446"/>
        <w:gridCol w:w="109"/>
        <w:gridCol w:w="109"/>
        <w:gridCol w:w="109"/>
        <w:gridCol w:w="109"/>
        <w:gridCol w:w="109"/>
        <w:gridCol w:w="109"/>
        <w:gridCol w:w="246"/>
        <w:gridCol w:w="721"/>
        <w:gridCol w:w="316"/>
        <w:gridCol w:w="111"/>
        <w:gridCol w:w="111"/>
        <w:gridCol w:w="111"/>
        <w:gridCol w:w="111"/>
        <w:gridCol w:w="111"/>
        <w:gridCol w:w="242"/>
        <w:gridCol w:w="709"/>
        <w:gridCol w:w="312"/>
        <w:gridCol w:w="109"/>
        <w:gridCol w:w="109"/>
        <w:gridCol w:w="109"/>
        <w:gridCol w:w="223"/>
        <w:gridCol w:w="652"/>
        <w:gridCol w:w="343"/>
      </w:tblGrid>
      <w:tr>
        <w:trPr/>
        <w:tc>
          <w:tcPr>
            <w:tcW w:w="20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545" w:type="dxa"/>
            <w:gridSpan w:val="6"/>
            <w:tcBorders/>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R-S Units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F Units</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Unit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 and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3,101,731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967,776</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Return Based on Net Asset Value</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Ratios to Weighted-Average Net Assets (Non-Annualized)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without Accrued 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Expenses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77850"/>
                <wp:effectExtent l="0" t="0" r="0" b="0"/>
                <wp:wrapNone/>
                <wp:docPr id="21" name="Frame21"/>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(a)Total return is calculated as the change in Net Asset Value per Unit during the period, plus distributions per Unit (assuming dividends and distributions are reinvested in accordance with T-POP’s distribution reinvestment plan) divided by the initial Net Asset Value per Unit. Total return does not include upfront transaction fees, if any. Total returns are not annualized.</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(b)Expense ratio includes Organizational Expenses, Accrued Performance Participation Allocation, Maintenance Fees,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Subsequent Events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 2026, T-POP sold unregistered limited partnership units (the “Units”) of the Fund as part of its continuous private offering for aggregate consideration of $84.4 million. The following table details the Units sold:</w:t>
      </w:r>
    </w:p>
    <w:tbl>
      <w:tblPr>
        <w:tblW w:w="5423"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599"/>
        <w:gridCol w:w="599"/>
        <w:gridCol w:w="601"/>
        <w:gridCol w:w="109"/>
        <w:gridCol w:w="109"/>
        <w:gridCol w:w="109"/>
        <w:gridCol w:w="302"/>
        <w:gridCol w:w="1548"/>
        <w:gridCol w:w="220"/>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1,438,589 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49,486,572 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87,403 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916,498 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31,233,658 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F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(a)Represents Class F Units sold to employees of affiliates of the Fund’s general partner, TPG Private Equity Opportunities GenPar, L.P.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 2026, the T-POP Fund Complex (inclusive of the Fund) issued interests for aggregate consideration of approximately $96.3 million.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management evaluated subsequent events through the date of issuance of these Condensed Financial Statements. Other than the events disclosed in the Notes to the Condensed Financial Statements, there have been no additional events since June 30, 2026 that require recognition or disclosure in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77850"/>
                <wp:effectExtent l="0" t="0" r="0" b="0"/>
                <wp:wrapNone/>
                <wp:docPr id="22" name="Frame22"/>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Assets and Liabilities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2746"/>
        <w:gridCol w:w="2185"/>
        <w:gridCol w:w="2212"/>
        <w:gridCol w:w="211"/>
        <w:gridCol w:w="976"/>
        <w:gridCol w:w="109"/>
        <w:gridCol w:w="109"/>
        <w:gridCol w:w="109"/>
        <w:gridCol w:w="109"/>
        <w:gridCol w:w="226"/>
        <w:gridCol w:w="1046"/>
        <w:gridCol w:w="167"/>
      </w:tblGrid>
      <w:tr>
        <w:trPr/>
        <w:tc>
          <w:tcPr>
            <w:tcW w:w="274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at Fair Value (Cost $— as of June 30, 2026; $655,399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 Affiliated Investee Funds at Fair Value (Cost $1,596,111 as of June 30, 2026; $434,716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Costs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I, unlimited Units authorized, (29,642,831 Units issued and outstanding as of June 30, 2026; 10,350,333 Units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R-I, unlimited Units authorized, (27,752,504 Units issued and outstanding as of June 30, 2026; 29,067,507 Units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F, unlimited Units authorized, (5,804,319 Units issued and outstanding as of June 30, 2026; 4,345,450 Units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1,447,179 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Net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1,459,101 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77850"/>
                <wp:effectExtent l="0" t="0" r="0" b="0"/>
                <wp:wrapNone/>
                <wp:docPr id="23" name="Frame23"/>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661"/>
        <w:gridCol w:w="1391"/>
        <w:gridCol w:w="1401"/>
        <w:gridCol w:w="109"/>
        <w:gridCol w:w="109"/>
        <w:gridCol w:w="366"/>
        <w:gridCol w:w="1433"/>
        <w:gridCol w:w="188"/>
        <w:gridCol w:w="109"/>
        <w:gridCol w:w="1698"/>
        <w:gridCol w:w="109"/>
        <w:gridCol w:w="109"/>
        <w:gridCol w:w="109"/>
        <w:gridCol w:w="211"/>
        <w:gridCol w:w="826"/>
        <w:gridCol w:w="109"/>
        <w:gridCol w:w="109"/>
        <w:gridCol w:w="158"/>
      </w:tblGrid>
      <w:tr>
        <w:trPr/>
        <w:tc>
          <w:tcPr>
            <w:tcW w:w="166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740" w:type="dxa"/>
            <w:gridSpan w:val="8"/>
            <w:tcBorders/>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2026</w:t>
            </w:r>
          </w:p>
        </w:tc>
        <w:tc>
          <w:tcPr>
            <w:tcW w:w="1740" w:type="dxa"/>
            <w:gridSpan w:val="8"/>
            <w:tcBorders/>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Realized and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Change in Realized and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233,137 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4685"/>
                <wp:effectExtent l="0" t="0" r="0" b="0"/>
                <wp:wrapNone/>
                <wp:docPr id="24" name="Frame2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Net Assets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0"/>
        <w:gridCol w:w="712"/>
        <w:gridCol w:w="715"/>
        <w:gridCol w:w="109"/>
        <w:gridCol w:w="109"/>
        <w:gridCol w:w="109"/>
        <w:gridCol w:w="211"/>
        <w:gridCol w:w="976"/>
        <w:gridCol w:w="109"/>
        <w:gridCol w:w="109"/>
        <w:gridCol w:w="109"/>
        <w:gridCol w:w="109"/>
        <w:gridCol w:w="109"/>
        <w:gridCol w:w="109"/>
        <w:gridCol w:w="109"/>
        <w:gridCol w:w="109"/>
        <w:gridCol w:w="109"/>
        <w:gridCol w:w="109"/>
        <w:gridCol w:w="211"/>
        <w:gridCol w:w="978"/>
        <w:gridCol w:w="109"/>
        <w:gridCol w:w="109"/>
        <w:gridCol w:w="109"/>
        <w:gridCol w:w="109"/>
        <w:gridCol w:w="211"/>
        <w:gridCol w:w="826"/>
        <w:gridCol w:w="109"/>
        <w:gridCol w:w="109"/>
        <w:gridCol w:w="109"/>
        <w:gridCol w:w="109"/>
        <w:gridCol w:w="109"/>
        <w:gridCol w:w="109"/>
        <w:gridCol w:w="109"/>
        <w:gridCol w:w="109"/>
        <w:gridCol w:w="109"/>
        <w:gridCol w:w="109"/>
        <w:gridCol w:w="215"/>
        <w:gridCol w:w="995"/>
        <w:gridCol w:w="162"/>
      </w:tblGrid>
      <w:tr>
        <w:trPr/>
        <w:tc>
          <w:tcPr>
            <w:tcW w:w="10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1,749,253 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2,281,515 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4685"/>
                <wp:effectExtent l="0" t="0" r="0" b="0"/>
                <wp:wrapNone/>
                <wp:docPr id="25" name="Frame2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Net Assets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tbl>
      <w:tblPr>
        <w:tblW w:w="10521" w:type="dxa"/>
        <w:jc w:val="center"/>
        <w:tblInd w:w="0" w:type="dxa"/>
        <w:tblLayout w:type="fixed"/>
        <w:tblCellMar>
          <w:top w:w="28" w:type="dxa"/>
          <w:left w:w="28" w:type="dxa"/>
          <w:bottom w:w="28" w:type="dxa"/>
          <w:right w:w="28" w:type="dxa"/>
        </w:tblCellMar>
      </w:tblPr>
      <w:tblGrid>
        <w:gridCol w:w="863"/>
        <w:gridCol w:w="311"/>
        <w:gridCol w:w="312"/>
        <w:gridCol w:w="109"/>
        <w:gridCol w:w="109"/>
        <w:gridCol w:w="109"/>
        <w:gridCol w:w="211"/>
        <w:gridCol w:w="976"/>
        <w:gridCol w:w="109"/>
        <w:gridCol w:w="109"/>
        <w:gridCol w:w="109"/>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79"/>
        <w:gridCol w:w="956"/>
        <w:gridCol w:w="146"/>
        <w:gridCol w:w="109"/>
        <w:gridCol w:w="109"/>
        <w:gridCol w:w="109"/>
        <w:gridCol w:w="109"/>
        <w:gridCol w:w="109"/>
        <w:gridCol w:w="109"/>
        <w:gridCol w:w="109"/>
        <w:gridCol w:w="211"/>
        <w:gridCol w:w="97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4685"/>
                <wp:effectExtent l="0" t="0" r="0" b="0"/>
                <wp:wrapNone/>
                <wp:docPr id="26" name="Frame2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690"/>
        <w:gridCol w:w="2237"/>
        <w:gridCol w:w="2248"/>
        <w:gridCol w:w="109"/>
        <w:gridCol w:w="109"/>
        <w:gridCol w:w="109"/>
        <w:gridCol w:w="386"/>
        <w:gridCol w:w="1634"/>
        <w:gridCol w:w="199"/>
        <w:gridCol w:w="109"/>
        <w:gridCol w:w="109"/>
        <w:gridCol w:w="109"/>
        <w:gridCol w:w="157"/>
      </w:tblGrid>
      <w:tr>
        <w:trPr/>
        <w:tc>
          <w:tcPr>
            <w:tcW w:w="269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Increase in Net Assets From Operations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(592,205)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due to 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Organizational and Offering Costs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Professional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(545,632)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631,180 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 in Affiliated Investee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(700,661)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Professional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Organizational and Offering Costs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4685"/>
                <wp:effectExtent l="0" t="0" r="0" b="0"/>
                <wp:wrapNone/>
                <wp:docPr id="27" name="Frame2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Schedules of Investments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635"/>
        <w:gridCol w:w="454"/>
        <w:gridCol w:w="460"/>
        <w:gridCol w:w="109"/>
        <w:gridCol w:w="109"/>
        <w:gridCol w:w="109"/>
        <w:gridCol w:w="175"/>
        <w:gridCol w:w="175"/>
        <w:gridCol w:w="176"/>
        <w:gridCol w:w="109"/>
        <w:gridCol w:w="109"/>
        <w:gridCol w:w="109"/>
        <w:gridCol w:w="334"/>
        <w:gridCol w:w="220"/>
        <w:gridCol w:w="211"/>
        <w:gridCol w:w="109"/>
        <w:gridCol w:w="109"/>
        <w:gridCol w:w="109"/>
        <w:gridCol w:w="320"/>
        <w:gridCol w:w="320"/>
        <w:gridCol w:w="321"/>
        <w:gridCol w:w="109"/>
        <w:gridCol w:w="109"/>
        <w:gridCol w:w="109"/>
        <w:gridCol w:w="306"/>
        <w:gridCol w:w="306"/>
        <w:gridCol w:w="307"/>
        <w:gridCol w:w="109"/>
        <w:gridCol w:w="109"/>
        <w:gridCol w:w="109"/>
        <w:gridCol w:w="109"/>
        <w:gridCol w:w="109"/>
        <w:gridCol w:w="109"/>
        <w:gridCol w:w="109"/>
        <w:gridCol w:w="109"/>
        <w:gridCol w:w="109"/>
        <w:gridCol w:w="211"/>
        <w:gridCol w:w="976"/>
        <w:gridCol w:w="109"/>
        <w:gridCol w:w="109"/>
        <w:gridCol w:w="109"/>
        <w:gridCol w:w="109"/>
        <w:gridCol w:w="357"/>
        <w:gridCol w:w="271"/>
        <w:gridCol w:w="677"/>
        <w:gridCol w:w="109"/>
        <w:gridCol w:w="159"/>
      </w:tblGrid>
      <w:tr>
        <w:trPr/>
        <w:tc>
          <w:tcPr>
            <w:tcW w:w="63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as Percentage of Net Assets (%)</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Affiliated Investee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Affiliated Investee Funds (Cost $1,596,111 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(a)Refer to Note 3. “Investment in the Aggregator” within the Notes to the Condensed Financial Statements of the Registrant for details on T-POP US Aggregator (CYM), L.P.’s proportional share of investments through investees.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4685"/>
                <wp:effectExtent l="0" t="0" r="0" b="0"/>
                <wp:wrapNone/>
                <wp:docPr id="28" name="Frame2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Schedules of Investments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26"/>
        <w:gridCol w:w="362"/>
        <w:gridCol w:w="368"/>
        <w:gridCol w:w="109"/>
        <w:gridCol w:w="109"/>
        <w:gridCol w:w="109"/>
        <w:gridCol w:w="343"/>
        <w:gridCol w:w="343"/>
        <w:gridCol w:w="348"/>
        <w:gridCol w:w="109"/>
        <w:gridCol w:w="109"/>
        <w:gridCol w:w="109"/>
        <w:gridCol w:w="368"/>
        <w:gridCol w:w="339"/>
        <w:gridCol w:w="285"/>
        <w:gridCol w:w="109"/>
        <w:gridCol w:w="109"/>
        <w:gridCol w:w="109"/>
        <w:gridCol w:w="336"/>
        <w:gridCol w:w="336"/>
        <w:gridCol w:w="337"/>
        <w:gridCol w:w="109"/>
        <w:gridCol w:w="109"/>
        <w:gridCol w:w="109"/>
        <w:gridCol w:w="294"/>
        <w:gridCol w:w="294"/>
        <w:gridCol w:w="295"/>
        <w:gridCol w:w="109"/>
        <w:gridCol w:w="109"/>
        <w:gridCol w:w="109"/>
        <w:gridCol w:w="109"/>
        <w:gridCol w:w="109"/>
        <w:gridCol w:w="109"/>
        <w:gridCol w:w="109"/>
        <w:gridCol w:w="109"/>
        <w:gridCol w:w="109"/>
        <w:gridCol w:w="211"/>
        <w:gridCol w:w="826"/>
        <w:gridCol w:w="109"/>
        <w:gridCol w:w="109"/>
        <w:gridCol w:w="109"/>
        <w:gridCol w:w="109"/>
        <w:gridCol w:w="317"/>
        <w:gridCol w:w="223"/>
        <w:gridCol w:w="558"/>
        <w:gridCol w:w="109"/>
        <w:gridCol w:w="162"/>
      </w:tblGrid>
      <w:tr>
        <w:trPr/>
        <w:tc>
          <w:tcPr>
            <w:tcW w:w="4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interest held through TPG IX Cardiff CI II, L.P. (50.0 million units) and TPG IX Cardiff CI IV, L.P. (39.3 million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4685"/>
                <wp:effectExtent l="0" t="0" r="0" b="0"/>
                <wp:wrapNone/>
                <wp:docPr id="29" name="Frame2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Schedules of Investments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84"/>
        <w:gridCol w:w="514"/>
        <w:gridCol w:w="521"/>
        <w:gridCol w:w="109"/>
        <w:gridCol w:w="109"/>
        <w:gridCol w:w="109"/>
        <w:gridCol w:w="175"/>
        <w:gridCol w:w="175"/>
        <w:gridCol w:w="176"/>
        <w:gridCol w:w="109"/>
        <w:gridCol w:w="109"/>
        <w:gridCol w:w="109"/>
        <w:gridCol w:w="365"/>
        <w:gridCol w:w="365"/>
        <w:gridCol w:w="369"/>
        <w:gridCol w:w="109"/>
        <w:gridCol w:w="109"/>
        <w:gridCol w:w="109"/>
        <w:gridCol w:w="335"/>
        <w:gridCol w:w="335"/>
        <w:gridCol w:w="336"/>
        <w:gridCol w:w="109"/>
        <w:gridCol w:w="109"/>
        <w:gridCol w:w="109"/>
        <w:gridCol w:w="291"/>
        <w:gridCol w:w="291"/>
        <w:gridCol w:w="292"/>
        <w:gridCol w:w="109"/>
        <w:gridCol w:w="109"/>
        <w:gridCol w:w="109"/>
        <w:gridCol w:w="109"/>
        <w:gridCol w:w="109"/>
        <w:gridCol w:w="109"/>
        <w:gridCol w:w="109"/>
        <w:gridCol w:w="109"/>
        <w:gridCol w:w="109"/>
        <w:gridCol w:w="211"/>
        <w:gridCol w:w="826"/>
        <w:gridCol w:w="109"/>
        <w:gridCol w:w="109"/>
        <w:gridCol w:w="109"/>
        <w:gridCol w:w="109"/>
        <w:gridCol w:w="308"/>
        <w:gridCol w:w="212"/>
        <w:gridCol w:w="530"/>
        <w:gridCol w:w="109"/>
        <w:gridCol w:w="160"/>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Portfolio Companies (Cost $564,563 North America, $75,836 Europe, $15,000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4685"/>
                <wp:effectExtent l="0" t="0" r="0" b="0"/>
                <wp:wrapNone/>
                <wp:docPr id="30" name="Frame3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Schedules of Investments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9"/>
        <w:gridCol w:w="352"/>
        <w:gridCol w:w="357"/>
        <w:gridCol w:w="109"/>
        <w:gridCol w:w="109"/>
        <w:gridCol w:w="109"/>
        <w:gridCol w:w="269"/>
        <w:gridCol w:w="269"/>
        <w:gridCol w:w="273"/>
        <w:gridCol w:w="109"/>
        <w:gridCol w:w="109"/>
        <w:gridCol w:w="109"/>
        <w:gridCol w:w="334"/>
        <w:gridCol w:w="208"/>
        <w:gridCol w:w="198"/>
        <w:gridCol w:w="109"/>
        <w:gridCol w:w="109"/>
        <w:gridCol w:w="109"/>
        <w:gridCol w:w="335"/>
        <w:gridCol w:w="335"/>
        <w:gridCol w:w="336"/>
        <w:gridCol w:w="109"/>
        <w:gridCol w:w="109"/>
        <w:gridCol w:w="109"/>
        <w:gridCol w:w="292"/>
        <w:gridCol w:w="292"/>
        <w:gridCol w:w="293"/>
        <w:gridCol w:w="109"/>
        <w:gridCol w:w="109"/>
        <w:gridCol w:w="109"/>
        <w:gridCol w:w="109"/>
        <w:gridCol w:w="109"/>
        <w:gridCol w:w="109"/>
        <w:gridCol w:w="109"/>
        <w:gridCol w:w="109"/>
        <w:gridCol w:w="109"/>
        <w:gridCol w:w="211"/>
        <w:gridCol w:w="976"/>
        <w:gridCol w:w="109"/>
        <w:gridCol w:w="109"/>
        <w:gridCol w:w="109"/>
        <w:gridCol w:w="109"/>
        <w:gridCol w:w="414"/>
        <w:gridCol w:w="216"/>
        <w:gridCol w:w="540"/>
        <w:gridCol w:w="109"/>
        <w:gridCol w:w="162"/>
      </w:tblGrid>
      <w:tr>
        <w:trPr/>
        <w:tc>
          <w:tcPr>
            <w:tcW w:w="7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Affiliated Investee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 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interest held through TPG Growth VI CS,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HedgeCo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Affiliated Investee Funds (Cost $434,716 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Dreyfus Government Cash Management, 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Investments in Affiliated Investee Funds and Cash Equivalents (Cost $1,170,310 North America, $75,836 Europe, $15,000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(a)Europe includes Europe and Middle East; Asia includes Asia and Australia.</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(b)There were no single investments included in this category that exceeded 5% of net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4685"/>
                <wp:effectExtent l="0" t="0" r="0" b="0"/>
                <wp:wrapNone/>
                <wp:docPr id="31" name="Frame3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(as amended, restated or supplemented, the “Aggregator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L.P. (“T-POP”) and TPG Private Equity Opportunities (TE), L.P. (the “Feeder TE”) are private funds exempt from registration under Section 3(c)(7) of the Investment Company Act of 1940, as amended (the “1940 Act”). T-POP and the Feeder TE are structured as a perpetual-life strategy, with monthly, fully-funded subscriptions and periodic repurchase offers. The Feeder TE invests all or substantially all of its assets indirectly in T-POP. In turn, T-POP invests all or substantially all of its assets in the Aggregator. The Aggregator, then in turn, invests all or substantially all of its assets through funds that hold (directly or indirectly) investments in private equity strategies (the “T-POP Investment Holdings Entities”). The Aggregator has the same investment objectives as T-POP.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 “Parallel Investment Entity” or “Parallel Investment Entities” refers to one or more parallel vehicles established by, or at the direction of, the Management Company (as defined below) to invest alongside T-POP. The Parallel Investment Entities may be established for certain investors with particular legal, tax, regulatory, compliance, structuring or certain other operational requirements to participate in the Aggregator. Parallel Investment Entities are expected to invest directly, or indirectly through one or more intermediate entities, into the Aggregator. T-POP, the Feeder TE, the Aggregator and its consolidated subsidiaries and any Parallel Investment Entity collectively form the “T-POP Fund Complex”.</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 operations commenced on June 2, 2025 (the “Commencement Of Operations” or “Initial Closing Date”) when T-POP, the Feeder TE and the Parallel Investment Entity sold unregistered limited partnership units to third parties and began investing and subsequently invested those proceeds into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GenPar, L.P., a Delaware limited partnership, is the general partner (the “General Partner”) of T-POP, Feeder TE and the Aggregator. Overall responsibility for oversight of the Aggregator rests with the General Partner, subject to certain oversight rights held by T-POP’s board of directors. The General Partner delegates the Aggregator’s portfolio management function to T-POP Management Company, LLC (the “Management Company”), a Delaware limited liability company. The Management Company has discretion to make investments on behalf of the Aggregator and is responsible for initiating, structuring and negotiating the Aggregator’s investments, as well as actively managing each investment to seek to maximize value. Both the General Partner and Management Company are subsidiaries of TPG.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accompanying condensed consolidated financial statements (the “Condensed Consolidated Financial Statements”) of the Aggregator have been prepared in accordance with accounting principles generally accepted in the United States of America (“U.S. GAAP”) and reflect all adjustments, consisting only of normal recurring adjustments, which are, in the opinion of management, necessary for a fair presentation of the Condensed Consolidated Financial Statements. The Aggregator is considered an investment company under U.S. GAAP and follows the accounting and reporting guidance applicable to investment companies in the Financial Accounting Standards Board Accounting Standards Codification (“ASC”) Topic 946, </w:t>
      </w:r>
      <w:r>
        <w:rPr>
          <w:rFonts w:ascii="Times New Roman;serif" w:hAnsi="Times New Roman;serif"/>
          <w:b w:val="false"/>
          <w:i/>
          <w:color w:val="000000"/>
          <w:sz w:val="20"/>
        </w:rPr>
        <w:t>Financial Services-Investment Companies (“ASC 946”)</w:t>
      </w:r>
      <w:r>
        <w:rPr>
          <w:rFonts w:ascii="Times New Roman;serif" w:hAnsi="Times New Roman;serif"/>
          <w:b w:val="false"/>
          <w:color w:val="000000"/>
          <w:sz w:val="20"/>
        </w:rPr>
        <w:t>. The operating results presented for interim periods are not necessarily indicative of the results that may be expected for any other interim period or for the entire year. These Condensed Consolidated Financial Statements should be read in conjunction with the Aggregator’s audited financial statements included in T-POP’s annual Report on Form 10-K for the year ended December 31, 2025, filed with the SEC.</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provided under ASC 946, the Aggregator generally does not consolidate its investment in a company unless the Aggregator has a controlling financial interest in (a) an investment company or (b) an operating company whose business consists of providing services to the Aggregator. The Aggregator consolidates in its Condensed Consolidated Financial Statements T-POP Investment Holding Entities and other subsidiaries in which the Aggregator has a controlling financial interest. All significant intercompany balances and transactions have been eliminated in consolidation. At each reporting date, the Aggregator assesses whether it has a controlling financial interest in each of the T-POP Investment Holding Entities or any other reporting entities within the T-POP Fund Complex, and any associated consolidation implications.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the commencement of operations through September 30, 2025, the Aggregator held a controlling financial interest in all of the T</w:t>
        <w:noBreakHyphen/>
        <w:t>POP Investment Holdings Entities and, accordingly, consolidated these entities in its consolidated financial statements. During the fourth quarter of 2025, an additional investor contributed capital to certain T</w:t>
        <w:noBreakHyphen/>
        <w:t xml:space="preserve">POP Investment Holdings Entities. As a result of these transactions, the Aggregator no longer held a controlling financial interest in certain of these entities, and such entities were deconsolidated. Following deconsolidation, the Aggregator’s retained interests in the deconsolidated entities were measured at fair value using the entities’ net asset value (“NAV”) as a practical expedient. The deconsolidation did not have a material impact on the Aggregator’s financial position, results of operations, or cash flows. In Q1, the Aggregator determined that it no longer holds a controlling financial interest in any of the T-POP Investment Holdings Entities.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ownership interests in consolidated T-POP Investment Holdings Entities held by parties other than the Aggregator. As of June 30, 2026, no non-controlling interests are presented in the Statements of Assets and Liabilities as the remaining T-POP Investment Holdings Entities were deconsolidated during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represent cash held in money market funds, treasury bills and other short‐term highly liquid investments with original maturities of three months or less. Income from money market funds is recorded as Dividend Income and Interest Income in the Condensed Consolidated Statements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foreign currencies are translated into U.S. dollar amounts at the reporting date. Transactions denominated in foreign currencies, including purchases and sales of investments, and income and expenses, are translated into U.S. dollar amounts on the date of such transactions and are included in the Net Change in Unrealized Gain (Loss) on Investments on the Condensed Consolidated Statement of Operations. The Aggregator's investments may be denominated in foreign currencies and, thus, are subject to foreign currency exchange rate fluctuations. Investments are translated into U.S. dollar amounts at the reporting date and the adjustment is included in Investments, at Fair Value and Net Change in Unrealized Gain (Loss) on Investments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ASC Topic 820, Fair Value Measurement (“ASC 820”) establishes a hierarchy that prioritizes and ranks the level of observability of inputs used to measure investments at fair value. The observability of inputs is impacted by a number of factors, including the type of investment to which it relates, the investment’s characteristics, market conditions and other factors. The hierarchy gives the highest priority to unadjusted quoted prices in active markets for identical assets or liabilities (Level I inputs) and the lowest priority to unobservable inputs (Level III inputs).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with readily available quoted prices or for which fair value can be measured from quoted prices in active markets will typically have a higher degree of input observability and therefore require a lesser degree of judgment applied in determining their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three levels of ASC 820’s fair value hierarchy are as follows: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 - Quoted prices (unadjusted) in active markets for identical financial instruments at the measurement date are used. The type of investments generally included in Level I are publicly listed securities in an active market and investments in money market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 - Pricing inputs are other than quoted prices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financial instruments generally classified in this category include securities with less liquidity traded in active markets, securities traded in other than active markets, corporate bonds and loans, foreign currency forward contracts and government and agency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III - Pricing inputs are unobservable and include situations where there is little, if any, market activity for the financial instrument. The inputs into the determination of fair value require significant judgment and estimation. The types of instruments generally included in Level III are privately held debt and equity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the inputs used to measure fair value may fall into different levels of the fair value hierarchy. In such cases, the level in the fair value hierarchy within which the fair value measurement in its entirety falls has been determined based on the lowest level input (with Level III being the lowest) that is significant to the fair value measurement in its entirety. Assessing the significance of a particular input to the fair value measurement in its entirety requires judgment and consideration of factors specific to the financial instrument. The categorization of an instrument within the hierarchy is based upon the pricing transparency of the instrument and does not necessarily correspond to the perceived risk of that instrument.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 at Fair Value and Investments in Affiliated Investee Funds at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values its investments at fair value in accordance with ASC 820. Fair value is the amount that would be received to sell an asset or paid to transfer a liability, in an orderly transaction between market participants at the measurement date. The Aggregator's investments are valued using valuation methodologies applied on a consistent basis as described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the publicly traded price may be appropriate in those cases; the amount of the discount, if taken, shall be determined based on the time period that must pass before the restricted security becomes unrestricted or otherwise available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not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absence of observable market prices, investment fair values are determined by applying methodologies on a consistent basis. For some investments little market activity may exist. The determination of fair value is then based on the best information available in the circumstances and may incorporate management’s own assumptions and involve a significant degree of judgment, taking into consideration a combination of internal and external factors, such as portfolio company performance and market and economic conditions. The Aggregator’s recent purchase transaction value may be a strong indicator of fair value and, as such, the Aggregator may continue to carry the investment at its transaction value for the first several reporting periods following the purchase of the investment, absent extraordinary factors. When the fair value is determined, it incorporates the latest available data, including values provided by external valuation firms, as well as any cash flow activity related to the investment during the month, updated quarterly financials, where applicable, and market movements. The methodology for determining the fair values of investments in operating companies may include either the income approach, market approach, or both:</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market approach is a valuation technique that provides an estimation of the fair value of a business based on market prices in actual or anticipated transactions and on asking prices for similar businesses. The valuation process is based on a comparison and correlation between the subject company and other comparable companies, transactions, and/or market data points. Consideration is given to various factors, such as the nature of business and performance of the subject company including its key performance metrics to arrive at an estimation of the fair value of the subject company’s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comparable company method is a valuation technique where reliance is placed on valuation multiples of comparable companies. Comparable companies are selected based on criteria such as, but not limited to, comparable industry and similar fundamentals and stage of development. Premiums or discounts may be applied to the comparable company’s multiples, if deemed reasonable, typically to calibrate the multiple to a recent deal price.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comparable transaction method is a valuation technique where reliance is placed on valuation multiples from comparable transactions. Comparable transactions are selected based on criteria such as comparable industries, similar fundamentals, and stage of development, among other considerations.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income approach is a valuation technique that provides an estimation of the fair value of a business based on expectations about the cash flows expected to be derived from the business in the future. The income approach begins with an estimation of the annual cash flows expected to be generated over a discrete projection period, which are then converted to their present value equivalent using a rate of return appropriate for the risk of achieving the projected cash flows. Similarly, a residual value of the business, if any, is estimated beyond the discrete projection period and present valued to the valuation date. The aggregated present value of the estimated cash flows is then added to the present value equivalent of the residual value of the business to arrive at an estimate of fair value.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Depending on the facts and circumstances associated with the investment, different methodologies may be used including option value, contingent claims or scenario analysis, yield analysis, projected cash flow through maturity or expiration, probability weighted methods or recent rounds of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affiliated or unaffiliated investee funds (“Investee Funds”) are generally valued using the reported net asset value (“NAV” or “Net Asset Value”) of the Investee Funds as a practical expedient for fair value. The Aggregator may, as a practical expedient, estimate the fair value of an Investee Fund based on NAV if the reported NAV of the Investee Fund is calculated in a manner consistent with the measurement principles of ASC 946 as of the reporting entity’s measurement date. The Aggregator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For direct or indirect investments in unaffiliated funds, the Aggregator generally uses the latest capital account statement received from the unaffiliated GP as a starting baseline. Such information received from the unaffiliated GP is typically one quarter behind the valuation date. If the Aggregator determines, based on its own due diligence and investment monitoring procedures, that NAV does not represent fair value or if the investee fund is not an investment company, the Aggregator will estimate the fair value in good faith and in a manner that it reasonably chooses, in accordance with its valuation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Debt and Other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Aggregator generally determines fair value by comparing against similar investments. The Aggregator reviews and analyzes prices obtained from external pricing sources to evaluate their reliability and accuracy, and at times, exclude vendor prices and broker quotations that the Aggregator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Aggregator may use an internal pricing model as either a corroborating or sole data point in determining the price. The Aggregator generally engages specialized third-party valuation service providers to assess and corroborate the valuation of a selection of the investments on a periodic basis. As of June 30, 2026, the Aggregator does not hold any debt securities.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Aggregator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the Aggregator may be considered a publicly traded partnership and not meet the qualifying income exception in certain years. In such a scenario, the Aggregator would be treated as a publicly traded partnership taxed as a corporation, rather than a partnership. The investors of the Aggregator would be treated as shareholders in a corporation, and the Aggregator itself would become taxable as a corporation for U.S. federal, state and/or local income tax purposes. In addition, the Aggregator may operate, in part, through subsidiaries that may be treated as corporations for U.S. and non-U.S. tax purposes and therefore may be subject to current and deferred U.S. federal, state and/or local income taxes at the subsidiary level.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The Aggregator reevaluates its tax positions each period in which new information becomes available. The Aggregator’s policy is to recognize tax related interest and penalties, if applicable, as a component of the provision for income taxes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and Interest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dividend and interest income primarily consists of income from money market funds.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Realized Gains or Losses and Net Change in Unrealized Gain (Loss) on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gains or losses are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Organizational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the one-year anniversary of the Initial Closing Date, organizational expenses are paid by the Management Company. After the Registrant, Feeder TE and the Parallel Investment Entity accepted third party investors and commenced investment operations, all costs incurred associated with the organization of the T-POP Fund Complex were expensed.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Investments and 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the Aggregator’s investments held at fair value by the fair value hierarchy levels as of June 30, 2026 and December 31, 2025:</w:t>
      </w:r>
    </w:p>
    <w:tbl>
      <w:tblPr>
        <w:tblW w:w="8755" w:type="dxa"/>
        <w:jc w:val="left"/>
        <w:tblInd w:w="0" w:type="dxa"/>
        <w:tblLayout w:type="fixed"/>
        <w:tblCellMar>
          <w:top w:w="28" w:type="dxa"/>
          <w:left w:w="28" w:type="dxa"/>
          <w:bottom w:w="28" w:type="dxa"/>
          <w:right w:w="28" w:type="dxa"/>
        </w:tblCellMar>
      </w:tblPr>
      <w:tblGrid>
        <w:gridCol w:w="780"/>
        <w:gridCol w:w="687"/>
        <w:gridCol w:w="692"/>
        <w:gridCol w:w="211"/>
        <w:gridCol w:w="826"/>
        <w:gridCol w:w="109"/>
        <w:gridCol w:w="109"/>
        <w:gridCol w:w="109"/>
        <w:gridCol w:w="109"/>
        <w:gridCol w:w="211"/>
        <w:gridCol w:w="406"/>
        <w:gridCol w:w="109"/>
        <w:gridCol w:w="109"/>
        <w:gridCol w:w="109"/>
        <w:gridCol w:w="109"/>
        <w:gridCol w:w="226"/>
        <w:gridCol w:w="436"/>
        <w:gridCol w:w="117"/>
        <w:gridCol w:w="109"/>
        <w:gridCol w:w="109"/>
        <w:gridCol w:w="109"/>
        <w:gridCol w:w="211"/>
        <w:gridCol w:w="976"/>
        <w:gridCol w:w="109"/>
        <w:gridCol w:w="109"/>
        <w:gridCol w:w="109"/>
        <w:gridCol w:w="109"/>
        <w:gridCol w:w="211"/>
        <w:gridCol w:w="97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Affiliated Investee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2,278,512 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tbl>
      <w:tblPr>
        <w:tblW w:w="9408" w:type="dxa"/>
        <w:jc w:val="left"/>
        <w:tblInd w:w="0" w:type="dxa"/>
        <w:tblLayout w:type="fixed"/>
        <w:tblCellMar>
          <w:top w:w="28" w:type="dxa"/>
          <w:left w:w="28" w:type="dxa"/>
          <w:bottom w:w="28" w:type="dxa"/>
          <w:right w:w="28" w:type="dxa"/>
        </w:tblCellMar>
      </w:tblPr>
      <w:tblGrid>
        <w:gridCol w:w="780"/>
        <w:gridCol w:w="687"/>
        <w:gridCol w:w="692"/>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Affiliated Investee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shown in the above tables, there are no Level III investments held by the Aggregator as of June 30, 2026. The following table summarizes the quantitative inputs and assumptions used for valuation of investments categorized in Level III of the fair value hierarchy as of December 31, 2025:</w:t>
      </w:r>
    </w:p>
    <w:tbl>
      <w:tblPr>
        <w:tblW w:w="10205" w:type="dxa"/>
        <w:jc w:val="center"/>
        <w:tblInd w:w="0" w:type="dxa"/>
        <w:tblLayout w:type="fixed"/>
        <w:tblCellMar>
          <w:top w:w="28" w:type="dxa"/>
          <w:left w:w="28" w:type="dxa"/>
          <w:bottom w:w="28" w:type="dxa"/>
          <w:right w:w="28" w:type="dxa"/>
        </w:tblCellMar>
      </w:tblPr>
      <w:tblGrid>
        <w:gridCol w:w="521"/>
        <w:gridCol w:w="332"/>
        <w:gridCol w:w="334"/>
        <w:gridCol w:w="211"/>
        <w:gridCol w:w="826"/>
        <w:gridCol w:w="109"/>
        <w:gridCol w:w="109"/>
        <w:gridCol w:w="109"/>
        <w:gridCol w:w="109"/>
        <w:gridCol w:w="526"/>
        <w:gridCol w:w="370"/>
        <w:gridCol w:w="371"/>
        <w:gridCol w:w="109"/>
        <w:gridCol w:w="109"/>
        <w:gridCol w:w="109"/>
        <w:gridCol w:w="467"/>
        <w:gridCol w:w="467"/>
        <w:gridCol w:w="468"/>
        <w:gridCol w:w="109"/>
        <w:gridCol w:w="109"/>
        <w:gridCol w:w="109"/>
        <w:gridCol w:w="247"/>
        <w:gridCol w:w="247"/>
        <w:gridCol w:w="248"/>
        <w:gridCol w:w="109"/>
        <w:gridCol w:w="109"/>
        <w:gridCol w:w="109"/>
        <w:gridCol w:w="510"/>
        <w:gridCol w:w="510"/>
        <w:gridCol w:w="511"/>
        <w:gridCol w:w="109"/>
        <w:gridCol w:w="109"/>
        <w:gridCol w:w="109"/>
        <w:gridCol w:w="377"/>
        <w:gridCol w:w="377"/>
        <w:gridCol w:w="541"/>
      </w:tblGrid>
      <w:tr>
        <w:trPr/>
        <w:tc>
          <w:tcPr>
            <w:tcW w:w="5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Comparables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EBITDA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3.8x - 27.5x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FWD EBITDA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21.0x - 22.0x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FWD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5.0x-5.0x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Transaction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Market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EV/EBITDA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12.0x - 14.0x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changes in the fair value of investments for which Level III inputs were used to determine the fair value for the six months ended June 30, 2026:</w:t>
      </w:r>
    </w:p>
    <w:tbl>
      <w:tblPr>
        <w:tblW w:w="7945" w:type="dxa"/>
        <w:jc w:val="center"/>
        <w:tblInd w:w="0" w:type="dxa"/>
        <w:tblLayout w:type="fixed"/>
        <w:tblCellMar>
          <w:top w:w="28" w:type="dxa"/>
          <w:left w:w="28" w:type="dxa"/>
          <w:bottom w:w="28" w:type="dxa"/>
          <w:right w:w="28" w:type="dxa"/>
        </w:tblCellMar>
      </w:tblPr>
      <w:tblGrid>
        <w:gridCol w:w="940"/>
        <w:gridCol w:w="824"/>
        <w:gridCol w:w="830"/>
        <w:gridCol w:w="308"/>
        <w:gridCol w:w="1212"/>
        <w:gridCol w:w="159"/>
        <w:gridCol w:w="129"/>
        <w:gridCol w:w="129"/>
        <w:gridCol w:w="129"/>
        <w:gridCol w:w="426"/>
        <w:gridCol w:w="821"/>
        <w:gridCol w:w="222"/>
        <w:gridCol w:w="129"/>
        <w:gridCol w:w="129"/>
        <w:gridCol w:w="129"/>
        <w:gridCol w:w="129"/>
        <w:gridCol w:w="109"/>
        <w:gridCol w:w="211"/>
        <w:gridCol w:w="82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 Financial Assets at Fair Value</w:t>
            </w:r>
          </w:p>
        </w:tc>
        <w:tc>
          <w:tcPr>
            <w:tcW w:w="1300"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Companies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Investments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Transfer Out of Level III</w:t>
            </w:r>
            <w:r>
              <w:rPr>
                <w:color w:val="000000"/>
              </w:rPr>
              <w:t xml:space="preserve"> </w:t>
            </w:r>
            <w:r>
              <w:rPr>
                <w:rFonts w:ascii="Times New Roman;serif" w:hAnsi="Times New Roman;serif"/>
                <w:b w:val="false"/>
                <w:color w:val="000000"/>
                <w:sz w:val="13"/>
              </w:rPr>
              <w:t>(a)</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18"/>
        </w:rPr>
        <w:t>, the Aggregator deconsolidated certain T-POP Investment Holdings Entities in which the Aggregator did not have controlling financial interest. Accordingly, the Level III investments held at the deconsolidated T-POP Investment Holdings Entities were transferred out of Level III. The Aggregator measures its investment in each deconsolidated T-POP Investment Holdings Entity using the respective entity’s reported NAV as a practical expedient. The deconsolidation did not have a material impact on the Aggregator’s financial position, ongoing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NAV as a Practical Expedient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investments that estimate fair value using NAV as a practical expedient. This includes information such as investment strategy, or industry, unfunded commitments (if applicable) and the fair value of the respective investments. As of June 30, 2026, a majority of these investments may not be redeemed at or within three months of the reporting date and certain investments may not be sold without a general partner’s consent. Certain investments cannot be redeemed and distributions received will be a result of income and/or sales of underlying assets of each investment; however, an estimate of the period of time over which the underlying assets are expected to be liquidated for such investments cannot be made.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investments that estimate fair value using NAV as a practical expedient as of June 30, 2026:</w:t>
      </w:r>
    </w:p>
    <w:tbl>
      <w:tblPr>
        <w:tblW w:w="8432" w:type="dxa"/>
        <w:jc w:val="center"/>
        <w:tblInd w:w="0" w:type="dxa"/>
        <w:tblLayout w:type="fixed"/>
        <w:tblCellMar>
          <w:top w:w="28" w:type="dxa"/>
          <w:left w:w="28" w:type="dxa"/>
          <w:bottom w:w="28" w:type="dxa"/>
          <w:right w:w="28" w:type="dxa"/>
        </w:tblCellMar>
      </w:tblPr>
      <w:tblGrid>
        <w:gridCol w:w="1580"/>
        <w:gridCol w:w="1388"/>
        <w:gridCol w:w="1396"/>
        <w:gridCol w:w="109"/>
        <w:gridCol w:w="109"/>
        <w:gridCol w:w="109"/>
        <w:gridCol w:w="109"/>
        <w:gridCol w:w="361"/>
        <w:gridCol w:w="1417"/>
        <w:gridCol w:w="186"/>
        <w:gridCol w:w="109"/>
        <w:gridCol w:w="109"/>
        <w:gridCol w:w="109"/>
        <w:gridCol w:w="211"/>
        <w:gridCol w:w="97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as a Practical Expedient Investments by Industry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254,959 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investments that estimate fair value using NAV as a practical expedient as of December 31, 2025:</w:t>
      </w:r>
    </w:p>
    <w:tbl>
      <w:tblPr>
        <w:tblW w:w="8282" w:type="dxa"/>
        <w:jc w:val="center"/>
        <w:tblInd w:w="0" w:type="dxa"/>
        <w:tblLayout w:type="fixed"/>
        <w:tblCellMar>
          <w:top w:w="28" w:type="dxa"/>
          <w:left w:w="28" w:type="dxa"/>
          <w:bottom w:w="28" w:type="dxa"/>
          <w:right w:w="28" w:type="dxa"/>
        </w:tblCellMar>
      </w:tblPr>
      <w:tblGrid>
        <w:gridCol w:w="1580"/>
        <w:gridCol w:w="1388"/>
        <w:gridCol w:w="1396"/>
        <w:gridCol w:w="109"/>
        <w:gridCol w:w="109"/>
        <w:gridCol w:w="109"/>
        <w:gridCol w:w="109"/>
        <w:gridCol w:w="361"/>
        <w:gridCol w:w="1417"/>
        <w:gridCol w:w="186"/>
        <w:gridCol w:w="109"/>
        <w:gridCol w:w="109"/>
        <w:gridCol w:w="109"/>
        <w:gridCol w:w="211"/>
        <w:gridCol w:w="82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as a Practical Expedient Investments by Industry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 VI</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HedgeCo LLC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unrealized gains on investments in affiliated investee funds totaled $228.5 million and $240.8 million, respectively and is included in the Net Change in Unrealized Gain (Loss) on Investments within the Condensed Consolidated Statement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Investments in Affiliated Investee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investments owned by the T-POP Investment Holdings entities for which the Aggregator’s combined share of fair values is in excess of 5% of the Aggregator’s net asset value. The table below is exclusive of the Aggregator’s share in the T-POP Investment Holdings entities’ other assets and liabilities, including borrowings, where applicable. The Aggregator’s ability to realize the value of the underlying investments is contingent upon the T-POP Investment Holdings entities’ ability to meet its liabilities.</w:t>
      </w:r>
    </w:p>
    <w:tbl>
      <w:tblPr>
        <w:tblW w:w="10205" w:type="dxa"/>
        <w:jc w:val="center"/>
        <w:tblInd w:w="0" w:type="dxa"/>
        <w:tblLayout w:type="fixed"/>
        <w:tblCellMar>
          <w:top w:w="28" w:type="dxa"/>
          <w:left w:w="28" w:type="dxa"/>
          <w:bottom w:w="28" w:type="dxa"/>
          <w:right w:w="28" w:type="dxa"/>
        </w:tblCellMar>
      </w:tblPr>
      <w:tblGrid>
        <w:gridCol w:w="770"/>
        <w:gridCol w:w="650"/>
        <w:gridCol w:w="654"/>
        <w:gridCol w:w="109"/>
        <w:gridCol w:w="109"/>
        <w:gridCol w:w="109"/>
        <w:gridCol w:w="432"/>
        <w:gridCol w:w="432"/>
        <w:gridCol w:w="434"/>
        <w:gridCol w:w="109"/>
        <w:gridCol w:w="109"/>
        <w:gridCol w:w="109"/>
        <w:gridCol w:w="426"/>
        <w:gridCol w:w="408"/>
        <w:gridCol w:w="361"/>
        <w:gridCol w:w="109"/>
        <w:gridCol w:w="109"/>
        <w:gridCol w:w="109"/>
        <w:gridCol w:w="327"/>
        <w:gridCol w:w="327"/>
        <w:gridCol w:w="328"/>
        <w:gridCol w:w="109"/>
        <w:gridCol w:w="109"/>
        <w:gridCol w:w="109"/>
        <w:gridCol w:w="353"/>
        <w:gridCol w:w="1385"/>
        <w:gridCol w:w="182"/>
        <w:gridCol w:w="109"/>
        <w:gridCol w:w="109"/>
        <w:gridCol w:w="109"/>
        <w:gridCol w:w="277"/>
        <w:gridCol w:w="207"/>
        <w:gridCol w:w="617"/>
      </w:tblGrid>
      <w:tr>
        <w:trPr/>
        <w:tc>
          <w:tcPr>
            <w:tcW w:w="77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Aggregator’s Share of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Assets</w:t>
            </w:r>
          </w:p>
        </w:tc>
      </w:tr>
      <w:tr>
        <w:trPr/>
        <w:tc>
          <w:tcPr>
            <w:tcW w:w="2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Net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at the direction of the General Partner, has the authority to issue an unlimited number of Class I, Class R-I, and Class F Units (each, an “Aggregator Unit”). The Aggregator has two limited partners, T-POP and a Parallel Investment Entity. All classes of units are issued to both the T-POP limited partner and the Parallel Investment Entity limited partner. T-POP and the Parallel Investment Entity receive monthly subscriptions from their investors, which are in turn invested into the Aggregator. T-POP and the Parallel Investment Entity are issued Class I, Class R-I and Class F Units in exchange for their contributions to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term “Transactional NAV” refers to the price at which transactions in the Aggregator’s Units are made, calculated in accordance with a valuation policy that has been approved by the Board of Directors. The purchase price per Aggregator Unit of each limited partner is equal to the Transactional NAV per Aggregator Unit for such limited partner as of the last calendar day of the immediately preceding month. Before the Aggregator determined its first Transactional NAV, the initial purchase price for the Aggregator’s Units was $25.00 per Aggregator Unit. The Aggregator’s Transactional NAV was first determined as of the end of the first full month after the Initial Closing Date. Thereafter, the Transactional NAV is based on the month-end values of investments, the addition of the value of any other assets such as cash and the deduction of any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Aggregator Unit issuances related to monthly contributions are effective the first calendar day of each month. Aggregator Units are issued at a price per Aggregator Unit equivalent to the Aggregator’s most recent Transactional NAV per Aggregator Unit available for Class I, Class R-I and Class F Units, which is the Aggregator’s prior month-end Transactional NAV per Aggregator Unit.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transactions in the Units during the three and six months ended June 30, 2026:</w:t>
      </w:r>
    </w:p>
    <w:tbl>
      <w:tblPr>
        <w:tblW w:w="10205" w:type="dxa"/>
        <w:jc w:val="center"/>
        <w:tblInd w:w="0" w:type="dxa"/>
        <w:tblLayout w:type="fixed"/>
        <w:tblCellMar>
          <w:top w:w="28" w:type="dxa"/>
          <w:left w:w="28" w:type="dxa"/>
          <w:bottom w:w="28" w:type="dxa"/>
          <w:right w:w="28" w:type="dxa"/>
        </w:tblCellMar>
      </w:tblPr>
      <w:tblGrid>
        <w:gridCol w:w="892"/>
        <w:gridCol w:w="783"/>
        <w:gridCol w:w="785"/>
        <w:gridCol w:w="109"/>
        <w:gridCol w:w="109"/>
        <w:gridCol w:w="109"/>
        <w:gridCol w:w="540"/>
        <w:gridCol w:w="541"/>
        <w:gridCol w:w="339"/>
        <w:gridCol w:w="109"/>
        <w:gridCol w:w="109"/>
        <w:gridCol w:w="109"/>
        <w:gridCol w:w="109"/>
        <w:gridCol w:w="109"/>
        <w:gridCol w:w="109"/>
        <w:gridCol w:w="109"/>
        <w:gridCol w:w="109"/>
        <w:gridCol w:w="109"/>
        <w:gridCol w:w="569"/>
        <w:gridCol w:w="560"/>
        <w:gridCol w:w="323"/>
        <w:gridCol w:w="109"/>
        <w:gridCol w:w="109"/>
        <w:gridCol w:w="109"/>
        <w:gridCol w:w="489"/>
        <w:gridCol w:w="487"/>
        <w:gridCol w:w="292"/>
        <w:gridCol w:w="109"/>
        <w:gridCol w:w="109"/>
        <w:gridCol w:w="109"/>
        <w:gridCol w:w="109"/>
        <w:gridCol w:w="540"/>
        <w:gridCol w:w="541"/>
        <w:gridCol w:w="453"/>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Units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37,915,424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54,158,787</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3,311,640 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5,211,922 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9,230,122 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15,219,127 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(15,219,127)</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Redeemed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(189,255)</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29,642,831 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27,752,504 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5,804,319 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63,199,654 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3"/>
        <w:gridCol w:w="793"/>
        <w:gridCol w:w="795"/>
        <w:gridCol w:w="109"/>
        <w:gridCol w:w="109"/>
        <w:gridCol w:w="109"/>
        <w:gridCol w:w="539"/>
        <w:gridCol w:w="542"/>
        <w:gridCol w:w="335"/>
        <w:gridCol w:w="109"/>
        <w:gridCol w:w="109"/>
        <w:gridCol w:w="109"/>
        <w:gridCol w:w="109"/>
        <w:gridCol w:w="109"/>
        <w:gridCol w:w="109"/>
        <w:gridCol w:w="109"/>
        <w:gridCol w:w="109"/>
        <w:gridCol w:w="109"/>
        <w:gridCol w:w="568"/>
        <w:gridCol w:w="558"/>
        <w:gridCol w:w="310"/>
        <w:gridCol w:w="109"/>
        <w:gridCol w:w="109"/>
        <w:gridCol w:w="109"/>
        <w:gridCol w:w="488"/>
        <w:gridCol w:w="488"/>
        <w:gridCol w:w="282"/>
        <w:gridCol w:w="109"/>
        <w:gridCol w:w="109"/>
        <w:gridCol w:w="109"/>
        <w:gridCol w:w="109"/>
        <w:gridCol w:w="539"/>
        <w:gridCol w:w="542"/>
        <w:gridCol w:w="452"/>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Units</w:t>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43,763,290</w:t>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20,170,315</w:t>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Transfer Between Classes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(15,482,109)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Redeemed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(733,951)</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29,642,831 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27,752,504 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5,804,319 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63,199,654 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Aggregator Partnership Agreement, the General Partner can cause the Aggregator to offer to redeem Aggregator Units from limited partners to match any repurchase offers made by T-POP and any Parallel Investment Fund. Any redemption of Aggregator Units will be effected by the Aggregator as needed to comply with the redemption program of T-POP and any Parallel Investment Fund and otherwise as determined by the General Partner. A Parallel Investment Fund may withdraw entirely from the Aggregator and have all of its Aggregator Units redeemed by the Aggregator only with the consent of T-POP, including, if applicable, approval by T-POP’s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Line of Credit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2025, a subsidiary of the Aggregator, as well as any additional borrower entities that may be added and removed from time to time (the “Borrowers”), entered into an unsecured, uncommitted line of credit (the “Line of Credit”) up to a maximum amount of $250.0 million with TPG Operating Group II, L.P. (the “Lender”), an affiliate of the General Partner. The line of credit expires on August 26, 2026, subject to six-month extension options requiring the Lender’s approval (the “Line Availability End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Line of Credit, the interest rate on the unpaid principal amount of each loan made to the Borrower is the then-current rate offered by a third-party lender or, if no such rate is available, Secured Overnight Financing Rate (“SOFR”) applicable to such loan plus 3.50%. Each advance under the Line of Credit is repayable on the earliest of (1) the 180th day following the earlier of (A) the Lender’s demand and (B) the Line Availability End Date, and (2) the scheduled date of repayment for each loan, which date shall not be later than 364 days following the borrowing of such loan, unless the Lender otherwise consents. To the extent the Borrowers have not repaid all loans and other obligations under the line of credit after a repayment event has occurred, the Borrowers shall use commercially reasonable efforts to apply excess available cash proceeds to the repayment of such loans and other obligations; provided that the Borrowers will be permitted to (w) make payments to fulfill any repurchase requests pursuant to the Aggregator’s redemption program on the terms substantially consistent with those described in the Aggregator’s filings with the Securities and Exchange Commission, (x) use funds to close any acquisition which the Aggregator entered into prior to receiving a demand notice, (y) make distributions to avoid any entity level tax, and (z) pay any income taxes when due. The Line of Credit also permits voluntary prepayment of principal and accrued interest without any penalty other than customary breakage costs subject to the Lender’s reasonable determination. Each Borrower may withdraw from the Line of Credit at the time all such obligations held by such Borrower to the Lender under the Line of Credit have been repaid to the Lender in full. The Line of Credit contains customary events of default. As is customary in such financings, if an event of default occurs under the Line of Credit, the Lender may accelerate the repayment of amounts outstanding under the Line of Credit and exercise other remedies subject, in certain instances, to the expiration of an applicable cure period.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the Lender and its assignees shall have any recourse to any general partner of any Borrower, any investor of any Borrower, including the Aggregator, or any of their respective assets for any indebtedness or other monetary obligation incurred under the Line of Credit. There were no borrowings during the six months ended June 30, 2026 and no amounts outstanding under the Line of Credit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has entered into a limited partnership agreement as amended and restated with the General Partner. Under the terms of the Aggregator’s Partnership Agreement, overall responsibility for Aggregator’s oversight rests with the General Partner, subject to certain oversight rights held by T-POP’s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and a Parallel Investment Entity entered into a management agreement with the Management Company (the “Management Agreement”). The Management Company shall provide portfolio management, risk management and other services to the Registrant and the Parallel Investment Entity (and in the General Partner’s discretion, to any subsidiary of the Registrant and the Parallel Investment Entity) during the term as the Registrant, Parallel Investment Entity and the Management Company shall reasonably agree. Management Fees, in accordance with the Management Agreement, are recognized at the Registrant and the Parallel Investment Entity. Refer to Note 5. “Related Party Transactions” within the Notes to the Condensed Financial Statements of the Registrant for further details of the Management Agreement.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T-POP Investment Holdings Entities that are consolidated by the Aggregator entered into respective management agreements (the “Investment Holdings Management Agreements”) with the Management Company. Pursuant to the terms of the Investment Holdings Management Agreements, management fees and maintenance fees are calculated and paid by the respective consolidated subsidiaries.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Management Company, Dealer Manager, Feeder TE, and Parallel Investment Entities, the Registrant, and other vehicles sponsored, advised and/or managed by TPG or its affiliates are affiliates of the Aggregator.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Affiliates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Aggregator may from time to time enter into transactions with certain affiliates. Such transactions are subject to oversight and, where required, approval by the independent directors of T-POP, and are conducted in accordance with the terms of the T-POP’s limited partnership agreement and applicable policies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Aggregator participated in a post-closing syndication transaction to acquire additional interests in one existing investment. The additional equity interests were purchased from a fund managed by an affiliate of the General Partner at a purchase price of $11 million, reflecting cost of the investment plus associated financing costs for the time the investments were held by such affiliate. There were no other similar transactions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7. Commitments and Contingencies</w:t>
      </w:r>
      <w:r>
        <w:rPr>
          <w:color w:val="000000"/>
        </w:rPr>
        <w:t xml:space="preserv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has agreed to advance organizational expenses, on the Aggregator’s behalf through the first anniversary of the Aggregator’s Initial Closing. The Aggregator will reimburse the Management Company for all such advanced expenses ratably over the 60 months following the anniversary of the Initial Closing Date. As of June 30, 2026, the Management Company and its affiliates have incurred cumulative organizational expenses amounting to $1.1 million on the Aggregator’s behalf, which are included in Organizational Costs Payable on the Condensed Consolidated Statement of Assets and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had unfunded commitments of $255.0 million and $237.4 million in affiliated investee funds as of June 30, 2026 and December 31, 2025, respectively. The Aggregator had no unfunded commitments in portfolio companies as of June 30, 2026 and $82.2 million as of December 31,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may, from time to time, be party to various legal matters arising in the ordinary course of business, including claims and litigation proceedings. As of June 30, 2026, the Aggregator was not subject to any material litigation nor was the Aggregator aware of any material litigation threatened against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Aggregator has not identified any uncertain tax positions that require recognition or disclosure. The Aggregator files its tax returns as prescribed by the tax laws of the jurisdictions in which it operates. In the normal course of business, the Aggregator is subject to examination by U.S. federal, state, local and foreign tax authorities. Although the outcome of tax audits is always uncertain, the Aggregator does not believe the outcome of any future audit will have a material adverse effect on the Aggregator’s Condensed Consolidated Financial Statements.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among other provisions, extends or reinstates certain provisions of the 2017 Tax Cuts and Jobs Act (TCJA). The legislation has multiple effective dates, with certain provisions effective in 2025 and others implemented through 2027. The OBBBA did not have a material impact to the Aggregator’s Condensed Consolidated Financial Statements for the six months ended June 30, 2026. The Aggregator will continue to evaluate its future impact as regulations are issued by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Financial Highlights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are the financial highlights of the Aggregator attributed to each Class of Units:</w:t>
      </w:r>
    </w:p>
    <w:tbl>
      <w:tblPr>
        <w:tblW w:w="10205" w:type="dxa"/>
        <w:jc w:val="center"/>
        <w:tblInd w:w="0" w:type="dxa"/>
        <w:tblLayout w:type="fixed"/>
        <w:tblCellMar>
          <w:top w:w="28" w:type="dxa"/>
          <w:left w:w="28" w:type="dxa"/>
          <w:bottom w:w="28" w:type="dxa"/>
          <w:right w:w="28" w:type="dxa"/>
        </w:tblCellMar>
      </w:tblPr>
      <w:tblGrid>
        <w:gridCol w:w="2162"/>
        <w:gridCol w:w="1694"/>
        <w:gridCol w:w="1711"/>
        <w:gridCol w:w="109"/>
        <w:gridCol w:w="109"/>
        <w:gridCol w:w="109"/>
        <w:gridCol w:w="212"/>
        <w:gridCol w:w="621"/>
        <w:gridCol w:w="273"/>
        <w:gridCol w:w="109"/>
        <w:gridCol w:w="109"/>
        <w:gridCol w:w="109"/>
        <w:gridCol w:w="109"/>
        <w:gridCol w:w="242"/>
        <w:gridCol w:w="708"/>
        <w:gridCol w:w="311"/>
        <w:gridCol w:w="109"/>
        <w:gridCol w:w="109"/>
        <w:gridCol w:w="109"/>
        <w:gridCol w:w="216"/>
        <w:gridCol w:w="634"/>
        <w:gridCol w:w="331"/>
      </w:tblGrid>
      <w:tr>
        <w:trPr/>
        <w:tc>
          <w:tcPr>
            <w:tcW w:w="216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181" w:type="dxa"/>
            <w:gridSpan w:val="3"/>
            <w:tcBorders/>
          </w:tcPr>
          <w:p>
            <w:pPr>
              <w:pStyle w:val="TableContents"/>
              <w:bidi w:val="0"/>
              <w:spacing w:before="0" w:after="283"/>
              <w:jc w:val="left"/>
              <w:rPr>
                <w:sz w:val="4"/>
                <w:szCs w:val="4"/>
              </w:rPr>
            </w:pPr>
            <w:r>
              <w:rPr>
                <w:sz w:val="4"/>
                <w:szCs w:val="4"/>
              </w:rPr>
            </w:r>
          </w:p>
        </w:tc>
      </w:tr>
      <w:tr>
        <w:trPr/>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Unit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 and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5,804,319</w:t>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Return Based on Net Asset Value</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Ratios to Weighted-Average Net Assets (Non-Annualized)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(a)Total return is calculated as the change in Net Asset Value per Unit during the period, plus distributions per Unit (assuming dividends and distributions are reinvested in accordance with T-POP’s distribution reinvestment plan) divided by the initial Net Asset Value per Unit. Total return does not include upfront transaction fees, if any.Total returns are not annualized.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10. Subsequent Events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Aggregator received additional subscriptions for a total of $96.3 million.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Aggregator’s management evaluated subsequent events through the date of issuance of these financial statements. Other than the event disclosed above, there have been no events since June 30, 2026 that require recognition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the unaudited condensed financial statements and the related notes of TPG Private Equity Opportunities, L.P. and the unaudited condensed consolidated financial statements and the related notes of T-POP US Aggregator (CYM), L.P. both included within this Quarterly Report on Form 10-Q.</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this Quarterly Report on Form 10-Q, or this "report," we refer to TPG Private Equity Opportunities, L.P. as "we," "us," the "Fund," "T-POP," or "our," unless we specifically state otherwise or the context indicates otherwise. We refer to our investment adviser, T-POP Management Company, LLC, as the “Management Company” and we refer to the direct parent company of the Management Company, TPG Solutions Advisors, LLC., as "Solutions Advisors."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2, 2025, TPG launched the T-POP Fund Complex, TPG’s perpetual private equity solution for eligible individual investors, that provides greater access to TPG’s private equity platform. Our investment objectives are to deliver medium- to long-term capital appreciation and, to a lesser extent, generate modest current income. T-POP is structured as a perpetual-life strategy, with monthly, fully funded subscriptions and periodic redemption offers, which we believe enables investors to better manage exposure to the private equity asset class and achieve the potential benefits of compounding returns.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primarily in privately negotiated, equity-oriented investments (“Private Equity Investments”), leveraging the talent and investment capabilities of TPG’s private equity platform (the “PE Platform”) to create an attractive portfolio of alternative investments diversified across geographies and sectors. Our General Partner and our Management Company are affiliates of TPG.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investment strategy includes investments in (i) Buyout transactions, which are large-scale investments, where TPG typically takes a control position in private companies, including carve-outs of business units from large corporations; (ii) Growth transactions where we acquire control or significant minority investments in growth-oriented private middle-market companies; and (iii) General Partner (GP)-led secondaries where we primarily invest in single asset continuation vehicles, alongside GPs using these investments as a means of holding what we believe to be their best assets for longer, with the GP typically rolling a substantial majority of its economics. T-POP may also pursue primary commitments to, and/or secondary market purchases of existing investments in, certain investment funds managed by TPG and third-party managers, as well as other investments that the General Partner determines are suitable for T-POP in its sole discretion. Over time, TPG expects that T-POP’s investment portfolio will include a broad pool of private equity assets that will be diversified across sector, geography, industry, market capitalization, and transaction type. T-POP will also generally seek to invest up to 20% of its net asset value in debt and other securities, including but not limited to, debt instruments, cash and money market funds, which may be used to provide a potential source of liquidity, generate current income and facilitate capital deployment (collectively, “Debt and Other Securities”, and together with Private Equity Investments, “Investments”). Proceeds generated by the realization of Investments are intended primarily to be redeployed into additional transactions, which is expected to drive significant compounding of asset value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the T-POP Fund Complex completed direct purchases of investments for </w:t>
      </w:r>
      <w:r>
        <w:rPr>
          <w:rFonts w:ascii="Times New Roman;serif" w:hAnsi="Times New Roman;serif"/>
          <w:b w:val="false"/>
          <w:color w:val="000000"/>
          <w:sz w:val="20"/>
        </w:rPr>
        <w:t>$592.2 million.</w:t>
      </w:r>
      <w:r>
        <w:rPr>
          <w:color w:val="000000"/>
          <w:shd w:fill="FFFFFF" w:val="clear"/>
        </w:rPr>
        <w:t xml:space="preserve">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T-POP Fund Complex’s portfolio consists of 56 Private Equity Investments. As of </w:t>
      </w:r>
      <w:r>
        <w:rPr>
          <w:rFonts w:ascii="Times New Roman;serif" w:hAnsi="Times New Roman;serif"/>
          <w:b w:val="false"/>
          <w:color w:val="000000"/>
          <w:sz w:val="20"/>
          <w:shd w:fill="FFFFFF" w:val="clear"/>
        </w:rPr>
        <w:t>June 30, 2026, the T-POP Fund Complex hold</w:t>
      </w:r>
      <w:r>
        <w:rPr>
          <w:rFonts w:ascii="Times New Roman;serif" w:hAnsi="Times New Roman;serif"/>
          <w:b w:val="false"/>
          <w:color w:val="000000"/>
          <w:sz w:val="20"/>
        </w:rPr>
        <w:t>s $256.6 million in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Summary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returns by each class of Investor Units at the Registrant are as follows:</w:t>
      </w:r>
    </w:p>
    <w:tbl>
      <w:tblPr>
        <w:tblW w:w="4909" w:type="dxa"/>
        <w:jc w:val="left"/>
        <w:tblInd w:w="0" w:type="dxa"/>
        <w:tblLayout w:type="fixed"/>
        <w:tblCellMar>
          <w:top w:w="28" w:type="dxa"/>
          <w:left w:w="28" w:type="dxa"/>
          <w:bottom w:w="28" w:type="dxa"/>
          <w:right w:w="28" w:type="dxa"/>
        </w:tblCellMar>
      </w:tblPr>
      <w:tblGrid>
        <w:gridCol w:w="572"/>
        <w:gridCol w:w="499"/>
        <w:gridCol w:w="504"/>
        <w:gridCol w:w="109"/>
        <w:gridCol w:w="109"/>
        <w:gridCol w:w="109"/>
        <w:gridCol w:w="109"/>
        <w:gridCol w:w="109"/>
        <w:gridCol w:w="569"/>
        <w:gridCol w:w="569"/>
        <w:gridCol w:w="1651"/>
      </w:tblGrid>
      <w:tr>
        <w:trPr/>
        <w:tc>
          <w:tcPr>
            <w:tcW w:w="57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Inception To Date Total Return </w:t>
            </w:r>
            <w:r>
              <w:rPr>
                <w:rFonts w:ascii="Times New Roman;serif" w:hAnsi="Times New Roman;serif"/>
                <w:b/>
                <w:color w:val="000000"/>
                <w:sz w:val="12"/>
              </w:rPr>
              <w:t>(b)</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R-I Units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R-S Units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R-D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a.For Classes that have been invested in T-POP for longer than a year, the Inception To Date Total Returns reflected is an average annualized inception to date return.</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b.Returns shown reflect the percent change in the Transactional NAV per unit from the beginning of the applicable period, plus the amount of any distribution per unit declared in the period. Returns shown are reflective of each unit class and not of an individual investor. The Fund believes total return is a useful measure of overall investment performance of our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 Portfolio Composition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charts below present the diversification of the T-POP Fund Complex’s portfolio companies by strategy, sector and geography based on the fair value of our Private Equity Investments as of June 30, 2026. The T-POP Fund Complex’s investments into funds managed by TPG are presented on a look-through basis with respect to underlying portfolio companies. </w:t>
      </w:r>
    </w:p>
    <w:p>
      <w:pPr>
        <w:pStyle w:val="TextBody"/>
        <w:bidi w:val="0"/>
        <w:spacing w:before="240" w:after="283"/>
        <w:jc w:val="center"/>
        <w:rPr/>
      </w:pPr>
      <w:r>
        <w:rPr/>
        <w:drawing>
          <wp:inline distT="0" distB="0" distL="0" distR="0">
            <wp:extent cx="6286500" cy="231457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6286500" cy="2314575"/>
                    </a:xfrm>
                    <a:prstGeom prst="rect">
                      <a:avLst/>
                    </a:prstGeom>
                  </pic:spPr>
                </pic:pic>
              </a:graphicData>
            </a:graphic>
          </wp:inline>
        </w:drawing>
      </w:r>
      <w:bookmarkStart w:id="0" w:name="i-1"/>
      <w:bookmarkEnd w:id="0"/>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 of fair value represents T-POP Fund Complex’s sum of Investments at Fair Value and Affiliated Investee Funds.</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Geography is generally based on the region where each investment is headquartered.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T-POP Fund Complex’s top 10 Private Equity Investments, based on fair value, were:</w:t>
      </w:r>
    </w:p>
    <w:tbl>
      <w:tblPr>
        <w:tblW w:w="6860"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250"/>
        <w:gridCol w:w="250"/>
        <w:gridCol w:w="251"/>
        <w:gridCol w:w="109"/>
        <w:gridCol w:w="109"/>
        <w:gridCol w:w="109"/>
        <w:gridCol w:w="334"/>
        <w:gridCol w:w="334"/>
        <w:gridCol w:w="336"/>
        <w:gridCol w:w="109"/>
        <w:gridCol w:w="109"/>
        <w:gridCol w:w="109"/>
        <w:gridCol w:w="736"/>
        <w:gridCol w:w="736"/>
        <w:gridCol w:w="1062"/>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Strategy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Sector</w:t>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 AI / Other Tech</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Hologic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Anthropic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 AI / Other Tech</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Transition</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Sabre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Transition</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AvidXchange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 AI / Other Tech</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Velotic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 Software</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 AI / Other Tech</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Surescripts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r>
    </w:tbl>
    <w:p>
      <w:pPr>
        <w:pStyle w:val="TextBody"/>
        <w:bidi w:val="0"/>
        <w:spacing w:lineRule="auto" w:line="288" w:before="60" w:after="283"/>
        <w:jc w:val="left"/>
        <w:rPr/>
      </w:pPr>
      <w:r>
        <w:rPr>
          <w:rFonts w:ascii="Times New Roman;serif" w:hAnsi="Times New Roman;serif"/>
          <w:b w:val="false"/>
          <w:color w:val="000000"/>
          <w:sz w:val="20"/>
        </w:rPr>
        <w:t>_______________</w:t>
      </w:r>
      <w:r>
        <w:rPr>
          <w:color w:val="000000"/>
        </w:rPr>
        <w:t xml:space="preserve"> </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Investments in unaffiliated and affiliated investee funds are presented on a look-through basis with respect to the underlying portfolio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Supplemental Schedule of Investments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invests all or substantially all of its assets in the Aggregator. The Aggregator, then in turn, invests all or substantially all of its assets in the T-POP Investment Holdings Entities which hold (directly or indirectly) investments in private equity strategies. The following Schedule of Investments presents the T</w:t>
        <w:noBreakHyphen/>
        <w:t>POP Fund Complex’s holdings on a look</w:t>
        <w:noBreakHyphen/>
        <w:t>through basis as of June 30, 2026. Investments held by the T-POP Investment Holdings Entities are shown based on the T-POP Fund Complex’s proportional ownership to provide a comprehensive view of the underlying investment exposure by sector and geography based on the fair value of the underlying investments as of June 30, 2026 ($ in thousands).</w:t>
      </w:r>
    </w:p>
    <w:tbl>
      <w:tblPr>
        <w:tblW w:w="10205" w:type="dxa"/>
        <w:jc w:val="center"/>
        <w:tblInd w:w="0" w:type="dxa"/>
        <w:tblLayout w:type="fixed"/>
        <w:tblCellMar>
          <w:top w:w="28" w:type="dxa"/>
          <w:left w:w="28" w:type="dxa"/>
          <w:bottom w:w="28" w:type="dxa"/>
          <w:right w:w="28" w:type="dxa"/>
        </w:tblCellMar>
      </w:tblPr>
      <w:tblGrid>
        <w:gridCol w:w="523"/>
        <w:gridCol w:w="357"/>
        <w:gridCol w:w="364"/>
        <w:gridCol w:w="109"/>
        <w:gridCol w:w="109"/>
        <w:gridCol w:w="109"/>
        <w:gridCol w:w="369"/>
        <w:gridCol w:w="339"/>
        <w:gridCol w:w="340"/>
        <w:gridCol w:w="109"/>
        <w:gridCol w:w="109"/>
        <w:gridCol w:w="109"/>
        <w:gridCol w:w="514"/>
        <w:gridCol w:w="389"/>
        <w:gridCol w:w="203"/>
        <w:gridCol w:w="109"/>
        <w:gridCol w:w="109"/>
        <w:gridCol w:w="109"/>
        <w:gridCol w:w="335"/>
        <w:gridCol w:w="335"/>
        <w:gridCol w:w="336"/>
        <w:gridCol w:w="109"/>
        <w:gridCol w:w="109"/>
        <w:gridCol w:w="109"/>
        <w:gridCol w:w="293"/>
        <w:gridCol w:w="293"/>
        <w:gridCol w:w="294"/>
        <w:gridCol w:w="109"/>
        <w:gridCol w:w="109"/>
        <w:gridCol w:w="109"/>
        <w:gridCol w:w="109"/>
        <w:gridCol w:w="109"/>
        <w:gridCol w:w="109"/>
        <w:gridCol w:w="109"/>
        <w:gridCol w:w="109"/>
        <w:gridCol w:w="109"/>
        <w:gridCol w:w="212"/>
        <w:gridCol w:w="725"/>
        <w:gridCol w:w="109"/>
        <w:gridCol w:w="109"/>
        <w:gridCol w:w="109"/>
        <w:gridCol w:w="109"/>
        <w:gridCol w:w="219"/>
        <w:gridCol w:w="219"/>
        <w:gridCol w:w="548"/>
        <w:gridCol w:w="109"/>
        <w:gridCol w:w="164"/>
      </w:tblGrid>
      <w:tr>
        <w:trPr/>
        <w:tc>
          <w:tcPr>
            <w:tcW w:w="5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as Percentage of Net Assets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Commercial and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Commercial and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10287" w:type="dxa"/>
        <w:jc w:val="center"/>
        <w:tblInd w:w="0" w:type="dxa"/>
        <w:tblLayout w:type="fixed"/>
        <w:tblCellMar>
          <w:top w:w="28" w:type="dxa"/>
          <w:left w:w="28" w:type="dxa"/>
          <w:bottom w:w="28" w:type="dxa"/>
          <w:right w:w="28" w:type="dxa"/>
        </w:tblCellMar>
      </w:tblPr>
      <w:tblGrid>
        <w:gridCol w:w="919"/>
        <w:gridCol w:w="334"/>
        <w:gridCol w:w="338"/>
        <w:gridCol w:w="109"/>
        <w:gridCol w:w="109"/>
        <w:gridCol w:w="109"/>
        <w:gridCol w:w="355"/>
        <w:gridCol w:w="325"/>
        <w:gridCol w:w="326"/>
        <w:gridCol w:w="109"/>
        <w:gridCol w:w="109"/>
        <w:gridCol w:w="109"/>
        <w:gridCol w:w="375"/>
        <w:gridCol w:w="375"/>
        <w:gridCol w:w="346"/>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439"/>
        <w:gridCol w:w="282"/>
        <w:gridCol w:w="186"/>
        <w:gridCol w:w="109"/>
        <w:gridCol w:w="109"/>
        <w:gridCol w:w="109"/>
        <w:gridCol w:w="207"/>
        <w:gridCol w:w="207"/>
        <w:gridCol w:w="517"/>
        <w:gridCol w:w="109"/>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in Portfolio Company(b)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10714" w:type="dxa"/>
        <w:jc w:val="center"/>
        <w:tblInd w:w="0" w:type="dxa"/>
        <w:tblLayout w:type="fixed"/>
        <w:tblCellMar>
          <w:top w:w="28" w:type="dxa"/>
          <w:left w:w="28" w:type="dxa"/>
          <w:bottom w:w="28" w:type="dxa"/>
          <w:right w:w="28" w:type="dxa"/>
        </w:tblCellMar>
      </w:tblPr>
      <w:tblGrid>
        <w:gridCol w:w="1154"/>
        <w:gridCol w:w="329"/>
        <w:gridCol w:w="333"/>
        <w:gridCol w:w="109"/>
        <w:gridCol w:w="109"/>
        <w:gridCol w:w="109"/>
        <w:gridCol w:w="355"/>
        <w:gridCol w:w="325"/>
        <w:gridCol w:w="326"/>
        <w:gridCol w:w="109"/>
        <w:gridCol w:w="109"/>
        <w:gridCol w:w="109"/>
        <w:gridCol w:w="364"/>
        <w:gridCol w:w="364"/>
        <w:gridCol w:w="368"/>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439"/>
        <w:gridCol w:w="387"/>
        <w:gridCol w:w="186"/>
        <w:gridCol w:w="109"/>
        <w:gridCol w:w="109"/>
        <w:gridCol w:w="109"/>
        <w:gridCol w:w="304"/>
        <w:gridCol w:w="207"/>
        <w:gridCol w:w="517"/>
        <w:gridCol w:w="109"/>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Technology Hardware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Technology Hardware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Telecommunication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Telecommunication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10354" w:type="dxa"/>
        <w:jc w:val="center"/>
        <w:tblInd w:w="0" w:type="dxa"/>
        <w:tblLayout w:type="fixed"/>
        <w:tblCellMar>
          <w:top w:w="28" w:type="dxa"/>
          <w:left w:w="28" w:type="dxa"/>
          <w:bottom w:w="28" w:type="dxa"/>
          <w:right w:w="28" w:type="dxa"/>
        </w:tblCellMar>
      </w:tblPr>
      <w:tblGrid>
        <w:gridCol w:w="514"/>
        <w:gridCol w:w="453"/>
        <w:gridCol w:w="459"/>
        <w:gridCol w:w="109"/>
        <w:gridCol w:w="109"/>
        <w:gridCol w:w="109"/>
        <w:gridCol w:w="355"/>
        <w:gridCol w:w="325"/>
        <w:gridCol w:w="326"/>
        <w:gridCol w:w="109"/>
        <w:gridCol w:w="109"/>
        <w:gridCol w:w="109"/>
        <w:gridCol w:w="364"/>
        <w:gridCol w:w="334"/>
        <w:gridCol w:w="278"/>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594"/>
        <w:gridCol w:w="382"/>
        <w:gridCol w:w="186"/>
        <w:gridCol w:w="109"/>
        <w:gridCol w:w="109"/>
        <w:gridCol w:w="109"/>
        <w:gridCol w:w="304"/>
        <w:gridCol w:w="207"/>
        <w:gridCol w:w="517"/>
        <w:gridCol w:w="109"/>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Portfolio Companies (Cost $900,080 North America, $105,527 Europe, $171,645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Unaffiliated Investee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T-POP Investment Holdings VI,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Asia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10489" w:type="dxa"/>
        <w:jc w:val="center"/>
        <w:tblInd w:w="0" w:type="dxa"/>
        <w:tblLayout w:type="fixed"/>
        <w:tblCellMar>
          <w:top w:w="28" w:type="dxa"/>
          <w:left w:w="28" w:type="dxa"/>
          <w:bottom w:w="28" w:type="dxa"/>
          <w:right w:w="28" w:type="dxa"/>
        </w:tblCellMar>
      </w:tblPr>
      <w:tblGrid>
        <w:gridCol w:w="890"/>
        <w:gridCol w:w="348"/>
        <w:gridCol w:w="353"/>
        <w:gridCol w:w="109"/>
        <w:gridCol w:w="109"/>
        <w:gridCol w:w="109"/>
        <w:gridCol w:w="355"/>
        <w:gridCol w:w="325"/>
        <w:gridCol w:w="326"/>
        <w:gridCol w:w="109"/>
        <w:gridCol w:w="109"/>
        <w:gridCol w:w="109"/>
        <w:gridCol w:w="375"/>
        <w:gridCol w:w="375"/>
        <w:gridCol w:w="346"/>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439"/>
        <w:gridCol w:w="387"/>
        <w:gridCol w:w="186"/>
        <w:gridCol w:w="109"/>
        <w:gridCol w:w="109"/>
        <w:gridCol w:w="109"/>
        <w:gridCol w:w="304"/>
        <w:gridCol w:w="207"/>
        <w:gridCol w:w="517"/>
        <w:gridCol w:w="109"/>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in Portfolio Company(b)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in Unaffiliated Investee Funds(b)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in Unaffiliated Investee Fund(b)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in Unaffiliated Investee Fund(b)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Unaffiliated Investee Funds (Cost $162,601 N. America, $98,715 Europe, $14,205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Affiliated Investee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47"/>
        <w:gridCol w:w="393"/>
        <w:gridCol w:w="400"/>
        <w:gridCol w:w="109"/>
        <w:gridCol w:w="109"/>
        <w:gridCol w:w="109"/>
        <w:gridCol w:w="365"/>
        <w:gridCol w:w="336"/>
        <w:gridCol w:w="337"/>
        <w:gridCol w:w="109"/>
        <w:gridCol w:w="109"/>
        <w:gridCol w:w="109"/>
        <w:gridCol w:w="334"/>
        <w:gridCol w:w="208"/>
        <w:gridCol w:w="198"/>
        <w:gridCol w:w="109"/>
        <w:gridCol w:w="109"/>
        <w:gridCol w:w="109"/>
        <w:gridCol w:w="335"/>
        <w:gridCol w:w="335"/>
        <w:gridCol w:w="336"/>
        <w:gridCol w:w="109"/>
        <w:gridCol w:w="109"/>
        <w:gridCol w:w="109"/>
        <w:gridCol w:w="292"/>
        <w:gridCol w:w="292"/>
        <w:gridCol w:w="293"/>
        <w:gridCol w:w="109"/>
        <w:gridCol w:w="109"/>
        <w:gridCol w:w="109"/>
        <w:gridCol w:w="109"/>
        <w:gridCol w:w="109"/>
        <w:gridCol w:w="109"/>
        <w:gridCol w:w="109"/>
        <w:gridCol w:w="109"/>
        <w:gridCol w:w="109"/>
        <w:gridCol w:w="211"/>
        <w:gridCol w:w="991"/>
        <w:gridCol w:w="109"/>
        <w:gridCol w:w="109"/>
        <w:gridCol w:w="109"/>
        <w:gridCol w:w="109"/>
        <w:gridCol w:w="337"/>
        <w:gridCol w:w="204"/>
        <w:gridCol w:w="566"/>
        <w:gridCol w:w="109"/>
        <w:gridCol w:w="161"/>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GP-Led Secondaries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GP-Led Secondaries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Affiliated Investee Funds (Cost $140,185 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Assets and Liabilities (Cost $3,153 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$1,206,019 North America, $204,242 Europe, $185,850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2,021,934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w:t>
            </w:r>
            <w:r>
              <w:rPr>
                <w:color w:val="000000"/>
              </w:rPr>
              <w:t>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(a)Europe includes Europe and Middle East; Asia includes Asia and Australia.</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(b)There were no single investments included in this category that exceeded 5% of net assets.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(c)The amounts presented reflect the T</w:t>
        <w:noBreakHyphen/>
        <w:t>POP Fund Complex’s proportionate interest in the Aggregator’s investment portfolio on a look</w:t>
        <w:noBreakHyphen/>
        <w:t>through basis. As of June 30, 2026, T</w:t>
        <w:noBreakHyphen/>
        <w:t>POP held a 80.2% ownership interest in the Aggregator. The remaining interest was held by a Parallel Investment Entity.</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(d)Net Assets used to calculate the percentage pertains to the Net Assets of the Aggregator allocated to the T-POP Fund Complex.</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Line of Credit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2025, a subsidiary of the Aggregator entered into an unsecured, uncommitted Line of Credit with TPG Operating Group II, L.P., an affiliate of the Fund. The facility provides the Aggregator with a maximum borrowing capacity of up to $250.0 million in aggregate principal amount. See Note 5. ‘Line of Credit Arrangement” within the Notes to Condensed Consolidated Financial Statements of the Aggregator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Environment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is generally reliant on TPG to source and execute private equity transactions.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second quarter of 2026 was characterized by a pivot from the defensive orientation of the prior quarter toward a broad-based risk-on environment. Market momentum was driven by a recovery in the technology sector following AI-related volatility in the first quarter and the de-escalation of the Middle East conflict as strong corporate earnings demonstrated durable growth. Despite the Federal Reserve adopting a more hawkish stance, market participants signaled confidence in global economic resilience while remaining mindful of persistent risks.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Global equities staged a powerful advance with major indices recovering the losses sustained in the first three months of the year. Domestic markets reached record highs fueled by strong momentum in growth oriented and small cap segments. The Nasdaq Composite and Russell 2000 gained 21.4% and 21.2%, respectively, for the quarter, while the S&amp;P 500 and Dow Jones Industrial Average rose 14.9% and 12.9%, respectively.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Sector performance diverged sharply as investors rotated aggressively back into technology and technology-adjacent themes. The Technology sector was the primary driver of the rally with a gain of 31.8% for the quarter. This was highlighted by the S&amp;P 500 Semiconductor &amp; Equipment industry group, which rose 46.9% during the period. Conversely, Energy was the worst performing sector with a decline of 13.4% as oil prices fell from Iran war-induced peaks in the first quarter. Other notable sector moves included Industrials, which rose 14.9%, and Consumer Discretionary, which rose 9.3%. Utilities and consumer staples lagged with returns of (0.5%) and 0.3%, respectively. International markets also demonstrated robust momentum as the MSCI Asia Pacific Index rose 21.0% and the MSCI World Index increased by 13.3%. The MSCI Europe Index advanced 10.5%.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Macroeconomic indicators reflected an environment of persistent but stabilizing inflationary pressures. The Consumer Price Index showed prices rose approximately 4.2% year-over-year in the quarter, remaining persistently above the Federal Reserve’s 2% target. Prices were impacted by the flow-through of increased energy and gas prices brought on by tensions in the Middle East; however, core inflation, which excludes food and energy prices, cooled year-over-year. The labor market remained tight but balanced, with the unemployment rate at 4.2% to 4.3% through June and monthly job gains consistent with recent trends. Consequently, the Federal Reserve maintained the target range for the federal funds rate at 3.50% to 3.75%. The Board of Governors of the Federal Reserve System (the “Fed”) maintained a hawkish pause as it signaled rate cuts remain unlikely for the remainder of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United States Treasury yields rose across the curve in the second quarter, with shorter-term maturities seeing the most significant increases. The 2-Month yield rose 40 basis points, and the 1-Year yield increased 32 basis points quarter over quarter. Intermediate and long-term rates saw more tempered adjustments with the 10-Year yield rising 15 basis points and the 30-Year yield increasing by 4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key financial and operating measures are discussed below: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 its investment in the Aggregator, T-POP generates income primarily from investments in portfolio companies, affiliated or unaffiliated funds, and debt and other securities, which consist of dividend income and interest income.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Dividend and Interest Income.</w:t>
      </w:r>
      <w:r>
        <w:rPr>
          <w:color w:val="000000"/>
        </w:rPr>
        <w:t xml:space="preserve"> </w:t>
      </w:r>
      <w:r>
        <w:rPr>
          <w:rFonts w:ascii="Times New Roman;serif" w:hAnsi="Times New Roman;serif"/>
          <w:b w:val="false"/>
          <w:color w:val="000000"/>
          <w:sz w:val="20"/>
        </w:rPr>
        <w:t>Dividend income consists of</w:t>
      </w:r>
      <w:r>
        <w:rPr>
          <w:color w:val="000000"/>
          <w:shd w:fill="FFFFFF" w:val="clear"/>
        </w:rPr>
        <w:t xml:space="preserve"> </w:t>
      </w:r>
      <w:r>
        <w:rPr>
          <w:rFonts w:ascii="Times New Roman;serif" w:hAnsi="Times New Roman;serif"/>
          <w:b w:val="false"/>
          <w:color w:val="000000"/>
          <w:sz w:val="20"/>
          <w:shd w:fill="FFFFFF" w:val="clear"/>
        </w:rPr>
        <w:t xml:space="preserve">(i) dividend income from portfolio companies and (ii) dividend income from investments in money market funds. </w:t>
      </w:r>
      <w:r>
        <w:rPr>
          <w:rFonts w:ascii="Times New Roman;serif" w:hAnsi="Times New Roman;serif"/>
          <w:b w:val="false"/>
          <w:color w:val="000000"/>
          <w:sz w:val="20"/>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Fund expects to collect such amounts. For the three and six months ended June 30, 2026, dividend income consists of income from money market funds. Interest Income consists primarily of income from debt and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Organizational and Offering Expenses.</w:t>
      </w:r>
      <w:r>
        <w:rPr>
          <w:color w:val="000000"/>
        </w:rPr>
        <w:t xml:space="preserve"> </w:t>
      </w:r>
      <w:r>
        <w:rPr>
          <w:rFonts w:ascii="Times New Roman;serif" w:hAnsi="Times New Roman;serif"/>
          <w:b w:val="false"/>
          <w:color w:val="000000"/>
          <w:sz w:val="20"/>
        </w:rPr>
        <w:t>Organizational and offering expenses are costs incurred in connection with the formation of the Fund and the offering of limited partnership units to potential investors. Prior to the anniversary of the Initial Closing, organization and offering expenses are paid by the Management Company. After T-POP accepted third party investors and commenced investment operations, costs associated with the organization of T-POP were expensed. Costs associated with the offering of Class S, Class R-S, Class D, Class R-D, Class I, Class R-I and Class F units of T-POP are capitalized as deferred expense and included as an asset on the Condensed Statements of Assets and Liabilities and amortized over a twelve-month period.</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Performance Participation Allocation.</w:t>
      </w:r>
      <w:r>
        <w:rPr>
          <w:color w:val="000000"/>
        </w:rPr>
        <w:t xml:space="preserve"> </w:t>
      </w:r>
      <w:r>
        <w:rPr>
          <w:rFonts w:ascii="Times New Roman;serif" w:hAnsi="Times New Roman;serif"/>
          <w:b w:val="false"/>
          <w:color w:val="000000"/>
          <w:sz w:val="20"/>
        </w:rPr>
        <w:t>Performance participation allocation represents the portion of expense recognized in the period relating to amounts that the General Partner is entitled to receive, contingent upon the achievement of specified performance metrics.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Management Fee</w:t>
      </w:r>
      <w:r>
        <w:rPr>
          <w:rFonts w:ascii="Times New Roman;serif" w:hAnsi="Times New Roman;serif"/>
          <w:b w:val="false"/>
          <w:color w:val="000000"/>
          <w:sz w:val="20"/>
        </w:rPr>
        <w:t>. Management fee pertains to the expense recognized in consideration of the Management Company’s management services rendered for T-POP.</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Professional Fees.</w:t>
      </w:r>
      <w:r>
        <w:rPr>
          <w:color w:val="000000"/>
        </w:rPr>
        <w:t xml:space="preserve"> </w:t>
      </w:r>
      <w:r>
        <w:rPr>
          <w:rFonts w:ascii="Times New Roman;serif" w:hAnsi="Times New Roman;serif"/>
          <w:b w:val="false"/>
          <w:color w:val="000000"/>
          <w:sz w:val="20"/>
        </w:rPr>
        <w:t>Professional Fees include costs primarily related to legal, valuation and audit fees.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Other Expenses</w:t>
      </w:r>
      <w:r>
        <w:rPr>
          <w:rFonts w:ascii="Times New Roman;serif" w:hAnsi="Times New Roman;serif"/>
          <w:b w:val="false"/>
          <w:color w:val="000000"/>
          <w:sz w:val="20"/>
        </w:rPr>
        <w:t>. Other expenses include costs primarily related to fund administration, transfer agent, and insurance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 xml:space="preserve">Net Change in Realized and </w:t>
      </w:r>
      <w:r>
        <w:rPr>
          <w:rFonts w:ascii="Times New Roman;serif" w:hAnsi="Times New Roman;serif"/>
          <w:b/>
          <w:color w:val="000000"/>
          <w:sz w:val="20"/>
          <w:shd w:fill="FFFFFF" w:val="clear"/>
        </w:rPr>
        <w:t>Unrealized Gain (Loss) on Investments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Realized gains or losses are measured as the difference between the net proceeds from the sale, repayment, or disposal of an asset and the adjusted cost basis of the asset, without regard to unrealized gains or losses previously recognized. Net change in unrealized gains or losses reflects the change in investment values during the reporting period, including any reversal of previously recorded unrealized gains or losses, when gains or losses are realized. T-POP generates income primarily from its investment in the Aggregator and has the same investment objectives as the Aggregator. T-POP has an interest of </w:t>
      </w:r>
      <w:r>
        <w:rPr>
          <w:rFonts w:ascii="Times New Roman;serif" w:hAnsi="Times New Roman;serif"/>
          <w:b w:val="false"/>
          <w:color w:val="000000"/>
          <w:sz w:val="20"/>
        </w:rPr>
        <w:t>80.2%</w:t>
      </w:r>
      <w:r>
        <w:rPr>
          <w:color w:val="000000"/>
          <w:shd w:fill="FFFFFF" w:val="clear"/>
        </w:rPr>
        <w:t xml:space="preserve"> </w:t>
      </w:r>
      <w:r>
        <w:rPr>
          <w:rFonts w:ascii="Times New Roman;serif" w:hAnsi="Times New Roman;serif"/>
          <w:b w:val="false"/>
          <w:color w:val="000000"/>
          <w:sz w:val="20"/>
          <w:shd w:fill="FFFFFF" w:val="clear"/>
        </w:rPr>
        <w:t xml:space="preserve">in the Aggregator as of </w:t>
      </w:r>
      <w:r>
        <w:rPr>
          <w:rFonts w:ascii="Times New Roman;serif" w:hAnsi="Times New Roman;serif"/>
          <w:b w:val="false"/>
          <w:color w:val="000000"/>
          <w:sz w:val="20"/>
        </w:rPr>
        <w:t>June 30, 2026. For the three and six months ended June 30, 2026, the Registrant recognized net change in unrealized gain on investments of $186.3 million and $215.2 million, respectively, and the Aggregator recognized $228.5 million and $240.8 million, respectively. For the three and six months ended June 30, 2025, the Registrant recognized net change in unrealized gain on investments of $20.5 million. For the three and six months ended June 30, 2026, the Registrant did not recognize any realized gains on investment. For the three and six months ended June 30, 2026, the Aggregator recognized net realized gains or losses of $4.6 million and $28.0 million, respectively. There were no net realized gains or losses for the Registrant from their investments for the three and six months ended June 30, 2025.</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Key drivers of the result of operations of T-POP are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results of operations for the three months ended June 30, 2026 and 2025</w:t>
      </w:r>
      <w:r>
        <w:rPr>
          <w:color w:val="000000"/>
        </w:rPr>
        <w:t xml:space="preserve"> </w:t>
      </w:r>
      <w:r>
        <w:rPr>
          <w:rFonts w:ascii="Times New Roman;serif" w:hAnsi="Times New Roman;serif"/>
          <w:b w:val="false"/>
          <w:color w:val="000000"/>
          <w:sz w:val="20"/>
        </w:rPr>
        <w:t>are discussed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T-POP’s net increase in net assets resulting from operations increased $152.7 million during the three months ended June 30, 2026 compared to three months ended June 30, 2025. This change was mainly attributable to $186.3 million in net unrealized gain on investment, partially offset by $(22.9) million in net investment loss.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did not recognize any dividend income for the three months ended June 30, 2026. For the three months ended June 30, 2026, the Aggregator recognized dividend income of $2.4 million from investments in money market funds.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total expenses increased $13.8 million during the three months ended June 30, 2026 compared to three months ended June 30, 2025. This change was mainly attributable to increases in performance participation allocation of $18.2 million and management fees of $2.4 million, and with offset of a decrease in other expenses of $6.8 million which is primarily related to the decrease in organizational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Investment Income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T-POP’s net investment income (loss) decreased $14.4 million during the three months ended June 30, 2026 compared to three months ended June 30, 2025. This change was mainly attributable to expenses noted above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Realized and Unrealized Gain (Loss) on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recognized $186.3 million of unrealized gain on the underlying investment in the Aggregator mainly driven by the Aggregator’s net gains on investments of $233.1 million for the three months ended June 30, 2026. This is an increase from the unrealized gain of $20.5 million earned in the three months ended June 30, 2025. T-POP has not recognized realized gains; however, the Aggregator has recognized realized gain of $4.6 million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six months ended June 30, 2026 Compared to 2025 are discussed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T-POP’s net increase in net assets resulting from operations increased $176.1 million during the six months ended June 30, 2026 compared to six months ended June 30, 2025. This change was mainly attributable to $215.2 million in net unrealized gain on investment, partially offset by $28.5 million in net investment loss.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T-POP’s dividend income from investments in money market funds decreased $(0.7) million during the six months ended June 30, 2026 compared to six months ended June 30, 2025. This is due to the deconsolidation of the Aggregator as of September 30, 2025, as the Aggregator earns the dividend income and T-POP’s share is now picked up through unrealized gain, the income is now earned at the Aggregator rather than directly at T-POP.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T-POP total expenses increased $19.3 million during the six months ended June 30, 2026 compared to six months ended June 30, 2025. This change was mainly attributable to performance participation allocation of $22.7 million, management fees of $4.3 million,</w:t>
      </w:r>
      <w:r>
        <w:rPr>
          <w:color w:val="000000"/>
        </w:rPr>
        <w:t xml:space="preserve"> </w:t>
      </w:r>
      <w:r>
        <w:rPr>
          <w:rFonts w:ascii="Times New Roman;serif" w:hAnsi="Times New Roman;serif"/>
          <w:b w:val="false"/>
          <w:color w:val="000000"/>
          <w:sz w:val="20"/>
        </w:rPr>
        <w:t>professional fees of $0.2 million, and other expenses of $1.2 million which is primarily related to audit and administration fees.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Investment Income (Loss)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T-POP’s net investment income (loss) decreased $20.0 million during the six months ended June 30, 2026 compared to six months ended June 30, 2025. This change was mainly attributable to $28.5 million </w:t>
      </w:r>
      <w:r>
        <w:rPr>
          <w:rFonts w:ascii="Times New Roman;serif" w:hAnsi="Times New Roman;serif"/>
          <w:b w:val="false"/>
          <w:color w:val="000000"/>
          <w:sz w:val="20"/>
          <w:shd w:fill="FFFFFF" w:val="clear"/>
        </w:rPr>
        <w:t>of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Realized and Unrealized Gain (Loss) on Investment</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T-POP’s unrealized gain on investments and derivative contracts </w:t>
      </w:r>
      <w:r>
        <w:rPr>
          <w:rFonts w:ascii="Times New Roman;serif" w:hAnsi="Times New Roman;serif"/>
          <w:b w:val="false"/>
          <w:color w:val="000000"/>
          <w:sz w:val="20"/>
        </w:rPr>
        <w:t>increased</w:t>
      </w:r>
      <w:r>
        <w:rPr>
          <w:color w:val="000000"/>
        </w:rPr>
        <w:t xml:space="preserve"> </w:t>
      </w:r>
      <w:r>
        <w:rPr>
          <w:rFonts w:ascii="Times New Roman;serif" w:hAnsi="Times New Roman;serif"/>
          <w:b w:val="false"/>
          <w:color w:val="000000"/>
          <w:sz w:val="20"/>
        </w:rPr>
        <w:t>$195.5 million</w:t>
      </w:r>
      <w:r>
        <w:rPr>
          <w:color w:val="000000"/>
          <w:shd w:fill="FFFFFF" w:val="clear"/>
        </w:rPr>
        <w:t xml:space="preserve"> </w:t>
      </w:r>
      <w:r>
        <w:rPr>
          <w:rFonts w:ascii="Times New Roman;serif" w:hAnsi="Times New Roman;serif"/>
          <w:b w:val="false"/>
          <w:color w:val="000000"/>
          <w:sz w:val="20"/>
          <w:shd w:fill="FFFFFF" w:val="clear"/>
        </w:rPr>
        <w:t>d</w:t>
      </w:r>
      <w:r>
        <w:rPr>
          <w:rFonts w:ascii="Times New Roman;serif" w:hAnsi="Times New Roman;serif"/>
          <w:b w:val="false"/>
          <w:color w:val="000000"/>
          <w:sz w:val="20"/>
        </w:rPr>
        <w:t>uring the six months ended June 30, 2026 compared to six months ended June 30, 2025.</w:t>
      </w:r>
      <w:r>
        <w:rPr>
          <w:color w:val="000000"/>
          <w:shd w:fill="FFFFFF" w:val="clear"/>
        </w:rPr>
        <w:t xml:space="preserve"> </w:t>
      </w:r>
      <w:r>
        <w:rPr>
          <w:rFonts w:ascii="Times New Roman;serif" w:hAnsi="Times New Roman;serif"/>
          <w:b w:val="false"/>
          <w:color w:val="000000"/>
          <w:sz w:val="20"/>
        </w:rPr>
        <w:t>This change was mainly attributable to $215.2 million</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f unrealized gain on the underlying investment in the Aggregator mainly driven by the Aggregator’s net gains on investments of $268.8 million</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the six months ended June 30, 2026, T-POP accepted $592.4 million of total subscriptions from its monthly closes in its continuous private offerings. T-POP purchased investments in the Aggregator totaling $585.1 million. As of June 30, 2026, T-POP had total assets of $1,829.7 million, which primarily consist of the underlying investment in the Aggregator of $1,829.4 million. As of December 31, 2025, T-POP had total assets of $1,051.0 million, which primarily consisted of the underlying investment in the Aggregator of $1,050.5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T-POP had total liabilities of $44.2 million. Total liabilities primarily consist of accrued performance participation allocation of $22.7 million, servicing fees payable of $16.2 million, and organizational and offering costs payable of $1.7 million. As of December 31, 2025, T-POP had total liabilities of $33.0 million. Total liabilities consisted of accrued performance participation allocation of $19.3 million, servicing fees payable of $10.5 million, and organizational and offering costs payable of $1.7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generates cash primarily from (i) the net proceeds of its continuous private offering, (ii) cash flows from its operations, (iii) any financing arrangements the Fund may enter into in the future and (iv) any future offerings of its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primary uses of cash are for (i) Investments, (ii) the cost of operations (including the Management Fee, Maintenance Fee and Performance Participation Allocation), (iii) debt service of any borrowings, (iv) periodic repurchases, including under the Redemption Program (as described herein), and (v) cash distributions (if any) to the holders of its Units to the extent declared by the General Partner.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had no cash and cash equivalents as of June 30, 2026 and December 31, 2025. T-POP did not consolidate the Aggregator as of December 31, 2025 and through June 30, 2026. All the cash and cash equivalents during that period were held by the Aggregator and its consolidated subsidiaries.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Cash Flows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T-POP’s cash flows for the periods presented ($ in thousands):</w:t>
      </w:r>
    </w:p>
    <w:p>
      <w:pPr>
        <w:pStyle w:val="TextBody"/>
        <w:bidi w:val="0"/>
        <w:spacing w:before="0" w:after="0"/>
        <w:jc w:val="both"/>
        <w:rPr/>
      </w:pPr>
      <w:r>
        <w:rPr/>
      </w:r>
    </w:p>
    <w:tbl>
      <w:tblPr>
        <w:tblW w:w="7168" w:type="dxa"/>
        <w:jc w:val="center"/>
        <w:tblInd w:w="0" w:type="dxa"/>
        <w:tblLayout w:type="fixed"/>
        <w:tblCellMar>
          <w:top w:w="28" w:type="dxa"/>
          <w:left w:w="28" w:type="dxa"/>
          <w:bottom w:w="28" w:type="dxa"/>
          <w:right w:w="28" w:type="dxa"/>
        </w:tblCellMar>
      </w:tblPr>
      <w:tblGrid>
        <w:gridCol w:w="1590"/>
        <w:gridCol w:w="1398"/>
        <w:gridCol w:w="1407"/>
        <w:gridCol w:w="109"/>
        <w:gridCol w:w="211"/>
        <w:gridCol w:w="826"/>
        <w:gridCol w:w="109"/>
        <w:gridCol w:w="109"/>
        <w:gridCol w:w="109"/>
        <w:gridCol w:w="109"/>
        <w:gridCol w:w="211"/>
        <w:gridCol w:w="82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flow used in operating activities was $578.5 million for the six months ended June 30, 2026 was primarily related to the purchases of investments of $585.1 million and unrealized gain on investment in the Aggregator, partially offset by investment proceeds of $20.3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flow provided by financing activities was $578.5 million for the six months ended June 30, 2026, which primarily reflects the proceeds from the issuance of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debt financing available to the Fund consisted of the Line of Credit (as defined in Note 5. “Line of Credit Agreement” in the “Notes to the Condensed Consolidated Financial Statements” of the Aggregator). </w:t>
      </w:r>
      <w:r>
        <w:rPr>
          <w:rFonts w:ascii="Times New Roman;serif" w:hAnsi="Times New Roman;serif"/>
          <w:b w:val="false"/>
          <w:color w:val="000000"/>
          <w:sz w:val="20"/>
          <w:shd w:fill="FFFFFF" w:val="clear"/>
        </w:rPr>
        <w:t>As of June 30, 2026, there were no outstanding borrowings under the Line of Credit, and no amounts were drawn during the three months ended June 30,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Transactional Net Asset Value (“Transactional NAV”)</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 calculates the transactional net asset value (“Transactional NAV”) for purposes of establishing the price at which transactions in the respective Units are made.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are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the Fund’s Transactional Net Asset Value as of June 30, 2026 ($ in thousands):</w:t>
      </w:r>
    </w:p>
    <w:tbl>
      <w:tblPr>
        <w:tblW w:w="6062" w:type="dxa"/>
        <w:jc w:val="left"/>
        <w:tblInd w:w="0" w:type="dxa"/>
        <w:tblLayout w:type="fixed"/>
        <w:tblCellMar>
          <w:top w:w="28" w:type="dxa"/>
          <w:left w:w="28" w:type="dxa"/>
          <w:bottom w:w="28" w:type="dxa"/>
          <w:right w:w="28" w:type="dxa"/>
        </w:tblCellMar>
      </w:tblPr>
      <w:tblGrid>
        <w:gridCol w:w="1593"/>
        <w:gridCol w:w="1397"/>
        <w:gridCol w:w="1404"/>
        <w:gridCol w:w="109"/>
        <w:gridCol w:w="109"/>
        <w:gridCol w:w="109"/>
        <w:gridCol w:w="211"/>
        <w:gridCol w:w="97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Components of T-POP’s Transactional 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Investment in the Aggregator (cost of $1,462,202)</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Servicing Fees Payable</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(a)Servicing Fees Payable only apply to Class R-S and Class R-D Units. For purposes of T-POP’s Transactional NAV, the fees are recognized as a reduction of T-POP’s Transactional NAV on a monthly basis. For purposes of calculating net asset value in accordance with </w:t>
      </w:r>
      <w:r>
        <w:rPr>
          <w:rFonts w:ascii="Times New Roman;serif" w:hAnsi="Times New Roman;serif"/>
          <w:b w:val="false"/>
          <w:color w:val="000000"/>
          <w:sz w:val="18"/>
          <w:shd w:fill="FFFFFF" w:val="clear"/>
        </w:rPr>
        <w:t>GAAP</w:t>
      </w:r>
      <w:r>
        <w:rPr>
          <w:rFonts w:ascii="Times New Roman;serif" w:hAnsi="Times New Roman;serif"/>
          <w:b w:val="false"/>
          <w:color w:val="000000"/>
          <w:sz w:val="18"/>
        </w:rPr>
        <w:t>, the Fund accrues the cost of the servicing fees, as applicable, for the estimated life of the units at the time the Fund sells Class R-S and Class R-D Units.</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(b)For purposes of calculating T</w:t>
        <w:noBreakHyphen/>
        <w:t>POP’s Transactional NAV, the Investment in the Aggregator includes an adjustment related to the Aggregator’s organizational expenses. These expenses will be recognized in the Transactional NAV calculation over a 60</w:t>
        <w:noBreakHyphen/>
        <w:t>month period, beginning June 1, 2026. For more information, see the reconciliation of GAAP NAV to Transactional NAV below.</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following table provides a breakdown of the Fund’s Transactional Net Asset Value per Unit by class as of June 30, 2026</w:t>
      </w:r>
      <w:r>
        <w:rPr>
          <w:rFonts w:ascii="Times New Roman;serif" w:hAnsi="Times New Roman;serif"/>
          <w:b w:val="false"/>
          <w:color w:val="000000"/>
          <w:sz w:val="20"/>
          <w:shd w:fill="FFFFFF" w:val="clear"/>
        </w:rPr>
        <w:t>:</w:t>
      </w:r>
    </w:p>
    <w:tbl>
      <w:tblPr>
        <w:tblW w:w="7497" w:type="dxa"/>
        <w:jc w:val="center"/>
        <w:tblInd w:w="0" w:type="dxa"/>
        <w:tblLayout w:type="fixed"/>
        <w:tblCellMar>
          <w:top w:w="28" w:type="dxa"/>
          <w:left w:w="28" w:type="dxa"/>
          <w:bottom w:w="28" w:type="dxa"/>
          <w:right w:w="28" w:type="dxa"/>
        </w:tblCellMar>
      </w:tblPr>
      <w:tblGrid>
        <w:gridCol w:w="337"/>
        <w:gridCol w:w="293"/>
        <w:gridCol w:w="299"/>
        <w:gridCol w:w="109"/>
        <w:gridCol w:w="109"/>
        <w:gridCol w:w="109"/>
        <w:gridCol w:w="519"/>
        <w:gridCol w:w="1519"/>
        <w:gridCol w:w="272"/>
        <w:gridCol w:w="109"/>
        <w:gridCol w:w="109"/>
        <w:gridCol w:w="109"/>
        <w:gridCol w:w="547"/>
        <w:gridCol w:w="549"/>
        <w:gridCol w:w="471"/>
        <w:gridCol w:w="109"/>
        <w:gridCol w:w="109"/>
        <w:gridCol w:w="109"/>
        <w:gridCol w:w="266"/>
        <w:gridCol w:w="1250"/>
        <w:gridCol w:w="19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Transactional NAV per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Transactional NAV </w:t>
              <w:br/>
              <w:t>($ in thousands)</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10,162,469 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17,738,049 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I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17,465,079 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969,006 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5,754,840 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52,437,699</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1,808,301</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(a)Transactional NAV per Unit for Class I does not reflect Feeder TE specific expenses and other net assets and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Net Asset Value to the Registrant’s Transactional Net Asset Value ($ in thousands):</w:t>
      </w:r>
    </w:p>
    <w:tbl>
      <w:tblPr>
        <w:tblW w:w="4986" w:type="dxa"/>
        <w:jc w:val="center"/>
        <w:tblInd w:w="0" w:type="dxa"/>
        <w:tblLayout w:type="fixed"/>
        <w:tblCellMar>
          <w:top w:w="28" w:type="dxa"/>
          <w:left w:w="28" w:type="dxa"/>
          <w:bottom w:w="28" w:type="dxa"/>
          <w:right w:w="28" w:type="dxa"/>
        </w:tblCellMar>
      </w:tblPr>
      <w:tblGrid>
        <w:gridCol w:w="1160"/>
        <w:gridCol w:w="1022"/>
        <w:gridCol w:w="1027"/>
        <w:gridCol w:w="109"/>
        <w:gridCol w:w="109"/>
        <w:gridCol w:w="109"/>
        <w:gridCol w:w="211"/>
        <w:gridCol w:w="976"/>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 and Offering Expenses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Servicing Fees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(a)Represents an adjustment to (i) the Investment in T-POP US Aggregator (CYM) L.P. related to organizational expenses incurred by the Aggregator and (ii) the organizational and offering expenses of the Registrant. For Transactional NAV purposes, organizational and offering expenses are expensed ratably over the 60‐month reimbursement period beginning June 2, 2026.</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(b)Represents an adjustment to reflect servicing fees on Class S, R-S and Class R-D Units as they are accrued on a monthly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We do not have any off-balance sheet financings or liabilities other than contractual commitments incurred in the normal course of our business. Please refer to Note 6. “Commitments and Contingencies”</w:t>
      </w:r>
      <w:r>
        <w:rPr>
          <w:color w:val="000000"/>
        </w:rPr>
        <w:t xml:space="preserve"> </w:t>
      </w:r>
      <w:r>
        <w:rPr>
          <w:rFonts w:ascii="Times New Roman;serif" w:hAnsi="Times New Roman;serif"/>
          <w:b w:val="false"/>
          <w:color w:val="000000"/>
          <w:sz w:val="20"/>
        </w:rPr>
        <w:t>within the Notes to the Condensed Financial Statements of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financial statements in accordance with accounting principles generally accepted in the United States of America (“GAAP”) involves significant judgments and assumptions and requires estimates about matters that are inherently uncertain. These judgments affect our reported amounts of assets and liabilities and our disclosure of contingent assets and liabilities at the dates of the financial statements and the reported amounts of income and expenses during the reporting periods. With different estimates or assumptions, materially different amounts could be reported in our financial statements. The following is a summary of our significant accounting policies that we believe are the most affected by our judgments, estimates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investment companies under Financial Accounting Standards Board Accounting Standards Codification (“ASC”) Topic 946, Financial Services – Investment Companies (“ASC 946”), T-POP and the Aggregator are required to report investments, including those for which current market values are not readily available, at fair value in accordance with ASC 820, Fair Value Measurements (“ASC 820”). In general, ASC 820 defines fair value as the price that would be received to sell an asset or paid to transfer a liability in an orderly transaction between market participants at the measurement date (i.e., the exit price). ASC 820 also sets a framework for measuring fair value and requires the inclusion in financial statements of certain disclosures about fair value measurements.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Fair Value of Investments or Instruments that are Exchange Traded</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a publicly traded price may be appropriate in those cases where a legal restriction is a characteristic of the security. The amount of the discount, if taken, shall be determined based on the time period that must pass before the restricted security becomes unrestricted or otherwise available for sale.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not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absence of observable market prices, the Fund values its investments using valuation methodologies applied on a consistent basis. For some investments little market activity may exist. The Fund’s determination of fair value is then based on the best information available and may incorporate management’s own assumptions and involve a significant degree of judgment, taking into consideration a combination of internal and external factors. The Fund considers the Fund’s recent purchase transaction value as a strong indicator of fair value and, as such, may continue to carry the investment at its transaction value for the first several reporting periods following the purchase of the investment, absent extraordinary factors. When the Fund determines the fair value, it updates the prior month-end valuation by incorporating latest available data, including values provided by external valuation firms, as well as any cash flow activity related to the investment during the month, updated quarterly financials, where applicable, and market movement.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Fund’s methodology for determining the fair values of investments in operating companies is a combination of the income approach, market approach, or both. When utilizing the income approach, the Fund generally uses the discounted cash flow method, which relies on the Fund making significant assumptions around projections of future earnings or cash flows, discount rates, capitalization rate, or exit multiple. When utilizing the market approach, the Fund relies upon valuations for comparable public companies, transactions or assets, and thus requires that the Fund uses discretion to identify comparable companies, transactions and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Fund may, but is not obligated to, monitor the Fund’s Equity Investments on an ongoing basis for events that the Fund believes may have a material impact on the Fund’s NAV as a whole. Material events may include investment-specific events or broader market-driven events that may impact more than one specific investment. Upon the occurrence of such a material event and provided that the Fund is aware that such event has occurred, the Fund may, but is not obligated to, provide an estimate of the change in value of the Equity Investment, based on the valuation procedures described herein. In general, the Fund expects that any adjustments to fair values will be calculated promptly after a determination that a material change has occurred and the financial effects of such change are quantifiable. However, rapidly changing market conditions or material events may not be immediately reflected in the monthly NAV.</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affiliated or unaffiliated investee funds (“Investee Funds”) are generally valued using the reported net asset value (“NAV” or “Net Asset Value”) of the Investee Funds as a practical expedient for fair value. The Fund may, as a practical expedient, estimate the fair value of an Investee Fund based on NAV if the reported NAV of the Investee Fund is calculated in a manner consistent with the measurement principles applied to investment companies and T-POP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If T-POP determines, based on its own due diligence and investment monitoring procedures, that NAV does not represent fair value or if the investee fund is not an investment company, T-POP will estimate the fair value in good faith and in a manner that it reasonably chooses, in accordance with its valuation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Debt and Other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Fund generally determines fair value by comparing against similar investments. The Fund reviews and analyzes prices obtained from external pricing sources to evaluate their reliability and accuracy, and at times, exclude vendor prices and broker quotations that the Fund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Fund may use an internal pricing model as either a corroborating or sole data point in determining the price. The Fund generally engages specialized third-party valuation service providers to assess and corroborate the valuation of a selection of the investments on a periodic basis.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Valuation Process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follows established procedures each month in conducting valuations of the Fund’s investments. The rigor of its procedures is intended to ensure consistent application across investments of U.S. GAAP and its valuation policies. There are three key groups of the Fund professionals engaged in the valuation process. For example, the monthly, quarterly, and annual valuation processes are facilitated and managed by the Fund “Valuation Team” with significant participation from the respective investment-specific “Deal Team” and the Fund’s “Global Valuation Committee” and the respective “Subcommittee” (collectively, the “Valuation Committees”). The following describes the responsibilities of the various parties involved in valuation determinations for Equity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monitoring the relevant portfolio company, preparing the valuation analysis, making an initial valuation recommendation to the Fund’s Valuation Team and amending the valuation based on the input from the other participants in the valuation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 Valuation Team, together with an external valuation firm, initiates and manages the valuation process by sending standardized valuation templates and/or valuation surveys to deal teams, review each proposed quarterly valuation for completeness and consistency across periods and the Fund’s portfolio, providing feedback and analysis to the investment-specific Deal Team and the Valuation Committees where appropriate, and administer its valuation policy generally.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reviews a majority of proposed Fund valuations, including the valuation methodology underlying each investment, suggest changes when warranted and give the final approval on all Fund valuations. Each subcommittee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responsibilities of the various parties involved in valuation determinations for Debt and Other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reviewing policy prices in order to determine if such price is consistent with information currently available to them in the marketplace, and providing an override price if applicable.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Valuation Team collects, reviews, and analyzes external pricing data before providing a “policy price” to the Deal Team. As part of its analysis, the Fund’s Valuation Team establishes reasonable procedures for testing the reliability and accuracy of the external pricing data it receives. If applicable, the Valuation Team determines whether an override is appropriate, and the group has the authority to accept or reject an override.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oversee the valuation process and reviews and approves any exceptions. Each Sub 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 also engages independent third parties to review its periodic valuations, as well as advise on valuation policy more generally. When making fair value determinations for assets that do not have a reliable, readily available market price, the Fund engages one or more independent valuation firms to perform certain procedures to assess if its fair value estimates are reasonable as of the relevant measurement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Dealer Manager Agreement entered into between T-POP, the Feeder TE and TPG Capital BD, LLC (the “Dealer Manager”), T-POP or its affiliates will pay to the Dealer Manager a Servicing Fee in the amount of (a) 0.85% per annum of the aggregate NAV for the Class S Units and Class R-S Units as of the last day of each month and (b) 0.25% per annum of the aggregate NAV for the Class D Units and Class R-D Units as of the last day of each month, in each case, payable monthly. T-POP or its affiliates will not pay to the Dealer Manager a Servicing Fee in respect of the purchase of any Class I Units, Class R-I Units and Class F Units. In calculating the Servicing Fee, the T-POP will use its NAV before giving effect to any accruals for the Servicing Fee, repurchases for that month, if any, and distributions payable on the T-POP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GAAP, T-POP accrues the cost of the Servicing Fees, as applicable, for the estimated life of the Units at the time we sell Class S Units, Class R-S Units, Class D Units, and Class R-D Units. Inherent in the calculation of the estimated amount of Servicing Fees to be paid in future periods are certain significant management judgments and estimates, including the estimated life of the Units at the time of a subscription. Servicing Fees Payable entails uncertainties as the calculation requires management to make assumptions and to apply judgment regarding a number of factors, including market conditions, the selling environment and historical trends. As of June 30, 2026, T-POP has accrued $16.2 million of Servicing Fees Payable, related to the Class R-S, Class R-D, and Class S Units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and the Aggregator are investment companies under ASC 946. T-POP and the Aggregator will not consolidate an investee unless T-POP or the Aggregator has controlling financial interest in (a) an investment company or (b) an operating company whose business consists of providing services to T-POP or the Aggregator. There is inherent judgment in how to apply ASC Topic 810, Consolidation (“ASC 810”), to instances where an investment company invests in another investment company as generally investment companies do not consolidate their investments and rather report them at fair value. Additionally, T-POP and the Aggregator exercise judgment when determining whether it has a controlling financial interest in an investee, including considering factors such as an investee's purpose and design and whether the General Partner directs activities that most significantly impact an investee's economic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June 2, 2025 (Commencement of Operations) through September 30, 2025, T-POP consolidated the accounts of the Aggregator and its subsidiaries as T-POP had a controlling financial interest. On October 1, 2025, the Aggregator received additional capital contributions from a Parallel Investment Entity. As a result, T-POP determined that it no longer holds a controlling financial interest in the Aggregator. Accordingly, beginning on October 1, 2025, T-POP deconsolidated the Aggregator and measured its investment in the Aggregator at fair value, using the Aggregator’s reported NAV as a practical expedient. The deconsolidation did not have a material impact on T-POP’s financial position, ongoing operations, or cash flows. T-POP considered the guidance in ASC 810, ASC 946 and certain SEC industry guidance in concluding that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non-consolidation of the Aggregator by T-POP was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accounting pronouncements issued during the three months ended June 30, 2026 that are expected to have a material impact on the Condensed Financial Statements of T-POP and the Condensed Consolidated Financial Statements of the Aggregator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is subject to financial market risks, including changes in interest rates. The Fund plans to invest primarily in Equity Investments. Most of the Fund’s investments do not have a readily available market price, and the Fund values these investments at fair value as determined in good faith pursuant to procedures adopted by, and under the oversight of, the Board in accordance with the Fund’s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See “Item 9. Market Price of and Dividends on the Registrant’s Common Equity and Related Limited Partner Matters—Calculation of Net Asset Value” in our Form 10 Registration Statement.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and the Aggregator indirectly hold investments in portfolio companies that are reported at fair value. Determining fair value requires that judgment be applied to the specific facts and circumstances of each portfolio investment while employing a consistently applied valuation process for the types of investments made by T-POP. Net changes in the fair value of portfolio companies held through the seven investment holding investments impact the Aggregator’s Net Change in Unrealized Gain (Loss) on Investments and in turn impact the Registrant’s Net Change in Unrealized Gain (Loss) on Investments. Based on investments held as of June 30, 2026, we estimate that an immediate, hypothetical 10% decline in the fair value of investments would result in a decline in the Net Realized and Unrealized Gain (Loss) on Investments of the Aggregator of $443.1 million and a decline in the Registrant’s Net Change in Unrealized Gain (Loss) on Investments of $354.7 million, if not offset by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holds investments that are denominated in non-U.S. dollar currencies that may be affected by movements in the rate of exchange between the U.S. dollar and non-U.S. dollar currencies. The Aggregator manages exposure to investments in foreign currencies by hedging such risks. As of June 30, 2026, the Aggregator held an investment in an affiliated investee fund that held foreign currency contracts to hedge a change in exchange rates against the U.S. dollar. We estimate that as of June 30, 2026, a 10% decline in the exchange rates between the U.S. dollar and all other foreign currencies in which certain portfolio companies are denominated would result in a decline in Net Realized and Unrealized Gain (Loss) on Investments of the Aggregator of $21.1 million and a decline in the Registrant’s Net Change in Unrealized Gain (Loss) on Investments of $16.9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credit markets and in particular, interest rates, can impact investment valuations and may have offsetting results depending on the valuation methodology used. For example, we may use a discounted cash flow analysis as one of the methodologies to ascertain the fair value of our portfolio companies that do not have readily observable market prices. If applicable interest rates rise, then the assumed cost of capital for those portfolio companies would be expected to increase under the discounted cash flow analysis, and this effect would negatively impact their valuations if not offset by other factors. Conversely, a fall in interest rates can positively impact valuations of certain portfolio companies if not offset by other factors. These impacts could be substantial depending upon the magnitude of the change in interest rates. Finally, low interest rates related to monetary stimulus and economic stagnation may also negatively impact expected returns on all investments, as the demand for relatively higher return assets increases and supply decreases. Additionally, with respect to our business operations, general increases in interest rates over time may cause the interest expense associated with our borrowings to increase and the value of our fixed income investments to decline. Conversely, general decreases in interest rates over time may cause the interest expense associated with our borrowings to decrease, and the value of our fixed income investments to increase. As of June 30, 2026, T-POP does not have any outstanding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Exchange Act) that are designed to ensure that information required to be disclosed in the Registrant’s reports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such term is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Neither the Registrant, the General Partner nor the Management Company are currently subject to any pending material legal proceedings against the Registrant, the General Partner or the Management Company. From time to time, the Registrant, the General Partner or the Management Company may be a party to certain legal proceedings in the ordinary course of business, including proceedings relating to the enforcement of the Registrant’s rights under contracts with the Registrant’s portfolio companies. The Registrant may also be subject to regulatory proceedings. See Note 6. “Commitments and Contingencies” in our Condensed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see the information under “Item 1A.––Risk Factors” in our Annual Report on Form 10-K for the year ended December 31, 2025.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sales of unregistered securities during the three months ended March 31, 2026 were previously disclosed.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Unit Redemptions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redemptions of Units during the six months ended June 30, 2026:</w:t>
      </w:r>
    </w:p>
    <w:tbl>
      <w:tblPr>
        <w:tblW w:w="10205" w:type="dxa"/>
        <w:jc w:val="center"/>
        <w:tblInd w:w="0" w:type="dxa"/>
        <w:tblLayout w:type="fixed"/>
        <w:tblCellMar>
          <w:top w:w="28" w:type="dxa"/>
          <w:left w:w="28" w:type="dxa"/>
          <w:bottom w:w="28" w:type="dxa"/>
          <w:right w:w="28" w:type="dxa"/>
        </w:tblCellMar>
      </w:tblPr>
      <w:tblGrid>
        <w:gridCol w:w="595"/>
        <w:gridCol w:w="523"/>
        <w:gridCol w:w="525"/>
        <w:gridCol w:w="109"/>
        <w:gridCol w:w="109"/>
        <w:gridCol w:w="109"/>
        <w:gridCol w:w="109"/>
        <w:gridCol w:w="109"/>
        <w:gridCol w:w="109"/>
        <w:gridCol w:w="109"/>
        <w:gridCol w:w="109"/>
        <w:gridCol w:w="473"/>
        <w:gridCol w:w="396"/>
        <w:gridCol w:w="397"/>
        <w:gridCol w:w="109"/>
        <w:gridCol w:w="109"/>
        <w:gridCol w:w="109"/>
        <w:gridCol w:w="370"/>
        <w:gridCol w:w="1083"/>
        <w:gridCol w:w="191"/>
        <w:gridCol w:w="109"/>
        <w:gridCol w:w="109"/>
        <w:gridCol w:w="109"/>
        <w:gridCol w:w="525"/>
        <w:gridCol w:w="469"/>
        <w:gridCol w:w="471"/>
        <w:gridCol w:w="109"/>
        <w:gridCol w:w="109"/>
        <w:gridCol w:w="109"/>
        <w:gridCol w:w="541"/>
        <w:gridCol w:w="541"/>
        <w:gridCol w:w="543"/>
        <w:gridCol w:w="109"/>
        <w:gridCol w:w="109"/>
        <w:gridCol w:w="109"/>
        <w:gridCol w:w="109"/>
        <w:gridCol w:w="109"/>
        <w:gridCol w:w="164"/>
      </w:tblGrid>
      <w:tr>
        <w:trPr/>
        <w:tc>
          <w:tcPr>
            <w:tcW w:w="5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Redemption Period</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units</w:t>
              <w:br/>
              <w:t>purchased (all classes)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unit (all classes)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units</w:t>
              <w:br/>
              <w:t>purchased as part of</w:t>
              <w:br/>
              <w:t>publicly announced</w:t>
              <w:br/>
              <w:t>plans or programs (all classes)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Maximum number (or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approximate dollar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value)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units that may yet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be purchased under</w:t>
            </w:r>
          </w:p>
          <w:p>
            <w:pPr>
              <w:pStyle w:val="TableContents"/>
              <w:bidi w:val="0"/>
              <w:spacing w:lineRule="auto" w:line="240" w:before="0" w:after="0"/>
              <w:jc w:val="center"/>
              <w:rPr/>
            </w:pPr>
            <w:r>
              <w:rPr>
                <w:rFonts w:ascii="Times New Roman;serif" w:hAnsi="Times New Roman;serif"/>
                <w:b/>
                <w:color w:val="000000"/>
                <w:sz w:val="18"/>
              </w:rPr>
              <w:t>the plans or programs (all classes)</w:t>
            </w:r>
            <w:r>
              <w:rPr>
                <w:rFonts w:ascii="Times New Roman;serif" w:hAnsi="Times New Roman;serif"/>
                <w:b/>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center"/>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(1)Redemptions were effective as of March 31, 2026 and June 30, 2026.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(2)Average Price Paid per Unit reflects the 5% early redemption deduction, as applicable.</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(3)All redemption requests were satisfied in full.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our redemption program, including a breakdown by class, see Note 4. “Net Assets — Redemption Program” within the Notes to the Registrant’s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6"/>
        <w:gridCol w:w="109"/>
        <w:gridCol w:w="109"/>
        <w:gridCol w:w="109"/>
        <w:gridCol w:w="2672"/>
        <w:gridCol w:w="2590"/>
        <w:gridCol w:w="3689"/>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Certificate of Limited Partnership (incorporated by reference to Exhibit 3.2 to the Fund’s Registration Statement on Form 10 filed on December 30, 2024).</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Amended and Restated Limited Partnership Agreement, dated as of June 2, 2025 (incorporated by reference to Exhibit 3.1 to the Fund’s Current Report on Form 8-K, filed on June 6, 2025).</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Distribution Reinvestment Plan (incorporated by reference to Exhibit 4.1 to Amendment No. 1 to the Fund’s Registration Statement on Form 10 filed on February 19, 2025).</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6630ex311.htm">
              <w:r>
                <w:rPr>
                  <w:rStyle w:val="InternetLink"/>
                  <w:rFonts w:ascii="Times New Roman;serif" w:hAnsi="Times New Roman;serif"/>
                  <w:b w:val="false"/>
                  <w:color w:val="000080"/>
                  <w:sz w:val="20"/>
                  <w:u w:val="single"/>
                </w:rPr>
                <w:t>Certification of Chief Executive Officer pursuant to Section 302 of the Sarbanes-Oxley Act of 2002</w:t>
              </w:r>
            </w:hyperlink>
            <w:hyperlink w:anchor="a2026630ex311.htm">
              <w:r>
                <w:rPr>
                  <w:rStyle w:val="InternetLink"/>
                  <w:rFonts w:ascii="Times New Roman;serif" w:hAnsi="Times New Roman;serif"/>
                  <w:b w:val="false"/>
                  <w:color w:val="000080"/>
                  <w:sz w:val="20"/>
                  <w:u w:val="single"/>
                </w:rPr>
                <w:t>.</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a2026630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6630ex321.htm">
              <w:r>
                <w:rPr>
                  <w:rStyle w:val="InternetLink"/>
                  <w:rFonts w:ascii="Times New Roman;serif" w:hAnsi="Times New Roman;serif"/>
                  <w:b w:val="false"/>
                  <w:color w:val="0000FF"/>
                  <w:sz w:val="20"/>
                  <w:u w:val="single"/>
                </w:rPr>
                <w:t>Certification of Chief Executive Officer of Periodic Financial Reports pursuant to Section 906 of the Sarbanes-Oxley Act of 2002.</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a2026630ex322.htm">
              <w:r>
                <w:rPr>
                  <w:rStyle w:val="InternetLink"/>
                  <w:rFonts w:ascii="Times New Roman;serif" w:hAnsi="Times New Roman;serif"/>
                  <w:b w:val="false"/>
                  <w:color w:val="0000FF"/>
                  <w:sz w:val="20"/>
                  <w:u w:val="single"/>
                </w:rPr>
                <w:t>Certification of Chief Financial Officer of Periodic Financial Reports pursuant to Section 906 of the Sarbanes-Oxley Act of 2002.</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before="120" w:after="283"/>
        <w:ind w:left="0" w:right="0" w:firstLine="180"/>
        <w:jc w:val="left"/>
        <w:rPr/>
      </w:pPr>
      <w:r>
        <w:rPr/>
      </w:r>
    </w:p>
    <w:p>
      <w:pPr>
        <w:pStyle w:val="TextBody"/>
        <w:bidi w:val="0"/>
        <w:spacing w:before="12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360" w:after="283"/>
        <w:jc w:val="left"/>
        <w:rPr/>
      </w:pPr>
      <w:hyperlink w:anchor="i5e0ca456da454a468510022e844409dc_4">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his report to be signed on its behalf by the undersigned thereunto duly authorized.</w:t>
      </w:r>
    </w:p>
    <w:tbl>
      <w:tblPr>
        <w:tblW w:w="9164" w:type="dxa"/>
        <w:jc w:val="left"/>
        <w:tblInd w:w="0" w:type="dxa"/>
        <w:tblLayout w:type="fixed"/>
        <w:tblCellMar>
          <w:top w:w="28" w:type="dxa"/>
          <w:left w:w="28" w:type="dxa"/>
          <w:bottom w:w="28" w:type="dxa"/>
          <w:right w:w="28" w:type="dxa"/>
        </w:tblCellMar>
      </w:tblPr>
      <w:tblGrid>
        <w:gridCol w:w="493"/>
        <w:gridCol w:w="435"/>
        <w:gridCol w:w="437"/>
        <w:gridCol w:w="545"/>
        <w:gridCol w:w="545"/>
        <w:gridCol w:w="545"/>
        <w:gridCol w:w="1806"/>
        <w:gridCol w:w="1806"/>
        <w:gridCol w:w="255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Jack Weingart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 White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Jack Weingart,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TPG Private Equity Opportunities, L.P.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Matt White, certify that: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TPG Private Equity Opportunities, L.P.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pPr>
      <w:r>
        <w:rPr>
          <w:rFonts w:ascii="Times New Roman;serif" w:hAnsi="Times New Roman;serif"/>
          <w:b w:val="false"/>
          <w:color w:val="000000"/>
          <w:sz w:val="20"/>
        </w:rPr>
        <w:t>In connection with the Quarterly Report on Form 10-Q of</w:t>
      </w:r>
      <w:r>
        <w:rPr>
          <w:color w:val="000000"/>
        </w:rPr>
        <w:t xml:space="preserve"> </w:t>
      </w:r>
      <w:r>
        <w:rPr>
          <w:rFonts w:ascii="Times New Roman;serif" w:hAnsi="Times New Roman;serif"/>
          <w:b w:val="false"/>
          <w:color w:val="000000"/>
          <w:sz w:val="20"/>
        </w:rPr>
        <w:t>TPG Private Equity Opportunities, L.P. (the “Company”) for the quarter ended June 30, 2026 as filed with the Securities and Exchange Commission on the date hereof (the “Report”), I, Jack Weingart,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TPG Private Equity Opportunities, L.P. (the “Company”) for the quarter ended June 30, 2026 as filed with the Securities and Exchange Commission on the date hereof (the “Report”), I, Matt White,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50260/000205026024000004/exhibit32-lpcertificate.htm" TargetMode="External"/><Relationship Id="rId4" Type="http://schemas.openxmlformats.org/officeDocument/2006/relationships/hyperlink" Target="https://www.sec.gov/Archives/edgar/data/2050260/000205026025000059/exhibit31-arlpa.htm" TargetMode="External"/><Relationship Id="rId5" Type="http://schemas.openxmlformats.org/officeDocument/2006/relationships/hyperlink" Target="https://www.sec.gov/Archives/edgar/data/2050260/000205026025000008/exhibit41-drip.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29257</Words>
  <Characters>163215</Characters>
  <CharactersWithSpaces>190063</CharactersWithSpaces>
  <Paragraphs>3529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