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TPG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5,593,545.00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5,593,545.00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5,593,545.00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6,647,858.00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6,647,858.00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6,647,858.00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6,647,858.00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6,647,858.00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6,647,858.00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6,647,858.00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6,647,858.00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6,647,858.00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TPG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Commerce Street, Suite 3300, Fort Worth, Texas 76102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I</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May 8, 2026, by and among Integrated Core Strategies (US)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14253d1_ex-1.htm"/>
      <w:bookmarkStart w:id="29" w:name="kstm2614253d1_ex1"/>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Class A Common Stock, par value $0.001 per share, of TPG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8, 2026</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423"/>
        <w:gridCol w:w="3421"/>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INTEGRATED CORE STRATEGIES (US)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Integrated Holding Group LP,</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Managing Member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 xml:space="preserve">Title: Global General Counsel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MILLENNIUM GROUP MANAGEMENT LLC</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sz w:val="20"/>
              </w:rPr>
            </w:pPr>
            <w:r>
              <w:rPr>
                <w:sz w:val="20"/>
              </w:rPr>
              <w:t>By:</w:t>
            </w:r>
          </w:p>
        </w:tc>
        <w:tc>
          <w:tcPr>
            <w:tcW w:w="342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sz w:val="20"/>
              </w:rPr>
            </w:pPr>
            <w:r>
              <w:rPr>
                <w:sz w:val="20"/>
              </w:rPr>
              <w:t>Israel A. Englander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1653</Words>
  <Characters>8576</Characters>
  <CharactersWithSpaces>10199</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