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24, 2026</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TPG Private Equity Opportunities, L.P.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148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000-56717</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99-4755034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p>
      <w:pPr>
        <w:spacing w:after="0" w:line="63" w:lineRule="exact"/>
        <w:rPr>
          <w:sz w:val="24"/>
          <w:szCs w:val="24"/>
          <w:color w:val="auto"/>
        </w:rPr>
      </w:pPr>
    </w:p>
    <w:p>
      <w:pPr>
        <w:jc w:val="both"/>
        <w:ind w:left="760" w:firstLine="38"/>
        <w:spacing w:after="0" w:line="312" w:lineRule="auto"/>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right"/>
        <w:ind w:right="380"/>
        <w:spacing w:after="0"/>
        <w:tabs>
          <w:tab w:leader="none" w:pos="292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Number)</w:t>
      </w:r>
    </w:p>
    <w:p>
      <w:pPr>
        <w:spacing w:after="0" w:line="167"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301 Commerce Street, Suite 3300</w:t>
      </w:r>
    </w:p>
    <w:p>
      <w:pPr>
        <w:spacing w:after="0" w:line="31"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Fort Worth, TX 76102</w:t>
      </w:r>
    </w:p>
    <w:p>
      <w:pPr>
        <w:spacing w:after="0" w:line="45"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59"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(817) 871-4000</w:t>
      </w:r>
    </w:p>
    <w:p>
      <w:pPr>
        <w:spacing w:after="0" w:line="67"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9"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3400"/>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60"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0" w:lineRule="exact"/>
        <w:rPr>
          <w:sz w:val="24"/>
          <w:szCs w:val="24"/>
          <w:color w:val="auto"/>
        </w:rPr>
      </w:pPr>
    </w:p>
    <w:p>
      <w:pPr>
        <w:sectPr>
          <w:pgSz w:w="11900" w:h="16838" w:orient="portrait"/>
          <w:cols w:equalWidth="0" w:num="2">
            <w:col w:w="2920" w:space="500"/>
            <w:col w:w="7820"/>
          </w:cols>
          <w:pgMar w:left="320" w:top="1191" w:right="339" w:bottom="1440" w:gutter="0" w:footer="0" w:header="0"/>
          <w:type w:val="continuous"/>
        </w:sectPr>
      </w:pPr>
    </w:p>
    <w:p>
      <w:pPr>
        <w:spacing w:after="0" w:line="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22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270"/>
        </w:trPr>
        <w:tc>
          <w:tcPr>
            <w:tcW w:w="30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30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None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None</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225" w:lineRule="exact"/>
        <w:rPr>
          <w:sz w:val="24"/>
          <w:szCs w:val="24"/>
          <w:color w:val="auto"/>
        </w:rPr>
      </w:pPr>
    </w:p>
    <w:p>
      <w:pPr>
        <w:ind w:right="220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4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 Unregistered Sales of Equity Securities.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June 1, 2026, TPG Private Equity Opportunities, L.P., a Delaware limited partnership (the “Fund” or “T-POP”), sold unregistered limited partnership units (the “Units”) of the Fund as part of its continuous private offering for aggregate consideration of $99.2 million. The following table details the Units sold: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80" w:type="dxa"/>
            <w:vAlign w:val="bottom"/>
          </w:tcPr>
          <w:p>
            <w:pPr>
              <w:spacing w:after="0"/>
              <w:rPr>
                <w:sz w:val="18"/>
                <w:szCs w:val="18"/>
                <w:color w:val="auto"/>
              </w:rPr>
            </w:pPr>
          </w:p>
        </w:tc>
        <w:tc>
          <w:tcPr>
            <w:tcW w:w="3660" w:type="dxa"/>
            <w:vAlign w:val="bottom"/>
          </w:tcPr>
          <w:p>
            <w:pPr>
              <w:jc w:val="right"/>
              <w:ind w:right="993"/>
              <w:spacing w:after="0"/>
              <w:rPr>
                <w:sz w:val="20"/>
                <w:szCs w:val="20"/>
                <w:color w:val="auto"/>
              </w:rPr>
            </w:pPr>
            <w:r>
              <w:rPr>
                <w:rFonts w:ascii="Times New Roman" w:cs="Times New Roman" w:eastAsia="Times New Roman" w:hAnsi="Times New Roman"/>
                <w:sz w:val="16"/>
                <w:szCs w:val="16"/>
                <w:b w:val="1"/>
                <w:bCs w:val="1"/>
                <w:color w:val="auto"/>
              </w:rPr>
              <w:t>Number of Units Sold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tcPr>
          <w:p>
            <w:pPr>
              <w:jc w:val="right"/>
              <w:ind w:right="892"/>
              <w:spacing w:after="0"/>
              <w:rPr>
                <w:sz w:val="20"/>
                <w:szCs w:val="20"/>
                <w:color w:val="auto"/>
              </w:rPr>
            </w:pPr>
            <w:r>
              <w:rPr>
                <w:rFonts w:ascii="Times New Roman" w:cs="Times New Roman" w:eastAsia="Times New Roman" w:hAnsi="Times New Roman"/>
                <w:sz w:val="16"/>
                <w:szCs w:val="16"/>
                <w:b w:val="1"/>
                <w:bCs w:val="1"/>
                <w:color w:val="auto"/>
              </w:rPr>
              <w:t>Aggregate Consideration</w:t>
            </w:r>
          </w:p>
        </w:tc>
      </w:tr>
      <w:tr>
        <w:trPr>
          <w:trHeight w:val="33"/>
        </w:trPr>
        <w:tc>
          <w:tcPr>
            <w:tcW w:w="3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5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w:t>
            </w:r>
          </w:p>
        </w:tc>
        <w:tc>
          <w:tcPr>
            <w:tcW w:w="80" w:type="dxa"/>
            <w:vAlign w:val="bottom"/>
            <w:tcBorders>
              <w:bottom w:val="single" w:sz="8" w:color="CCEEFF"/>
            </w:tcBorders>
            <w:shd w:val="clear" w:color="auto" w:fill="CCEEFF"/>
          </w:tcPr>
          <w:p>
            <w:pPr>
              <w:spacing w:after="0"/>
              <w:rPr>
                <w:sz w:val="22"/>
                <w:szCs w:val="22"/>
                <w:color w:val="auto"/>
              </w:rPr>
            </w:pPr>
          </w:p>
        </w:tc>
        <w:tc>
          <w:tcPr>
            <w:tcW w:w="3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1,820,051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59,527,800</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S</w:t>
            </w:r>
          </w:p>
        </w:tc>
        <w:tc>
          <w:tcPr>
            <w:tcW w:w="3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969,005</w:t>
            </w:r>
          </w:p>
        </w:tc>
        <w:tc>
          <w:tcPr>
            <w:tcW w:w="6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31,420,400</w:t>
            </w:r>
          </w:p>
        </w:tc>
      </w:tr>
      <w:tr>
        <w:trPr>
          <w:trHeight w:val="41"/>
        </w:trPr>
        <w:tc>
          <w:tcPr>
            <w:tcW w:w="366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640" w:type="dxa"/>
            <w:vAlign w:val="bottom"/>
            <w:gridSpan w:val="2"/>
          </w:tcPr>
          <w:p>
            <w:pPr>
              <w:spacing w:after="0"/>
              <w:rPr>
                <w:sz w:val="3"/>
                <w:szCs w:val="3"/>
                <w:color w:val="auto"/>
              </w:rPr>
            </w:pPr>
          </w:p>
        </w:tc>
        <w:tc>
          <w:tcPr>
            <w:tcW w:w="3140" w:type="dxa"/>
            <w:vAlign w:val="bottom"/>
          </w:tcPr>
          <w:p>
            <w:pPr>
              <w:spacing w:after="0"/>
              <w:rPr>
                <w:sz w:val="3"/>
                <w:szCs w:val="3"/>
                <w:color w:val="auto"/>
              </w:rPr>
            </w:pPr>
          </w:p>
        </w:tc>
      </w:tr>
      <w:tr>
        <w:trPr>
          <w:trHeight w:val="28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Class F </w:t>
            </w:r>
            <w:r>
              <w:rPr>
                <w:rFonts w:ascii="Times New Roman" w:cs="Times New Roman" w:eastAsia="Times New Roman" w:hAnsi="Times New Roman"/>
                <w:sz w:val="23"/>
                <w:szCs w:val="23"/>
                <w:color w:val="auto"/>
                <w:vertAlign w:val="superscript"/>
              </w:rPr>
              <w:t>(a)</w:t>
            </w:r>
          </w:p>
        </w:tc>
        <w:tc>
          <w:tcPr>
            <w:tcW w:w="80" w:type="dxa"/>
            <w:vAlign w:val="bottom"/>
            <w:shd w:val="clear" w:color="auto" w:fill="CCEEFF"/>
          </w:tcPr>
          <w:p>
            <w:pPr>
              <w:spacing w:after="0"/>
              <w:rPr>
                <w:sz w:val="24"/>
                <w:szCs w:val="24"/>
                <w:color w:val="auto"/>
              </w:rPr>
            </w:pP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241,833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8,239,950</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480" w:hanging="472"/>
        <w:spacing w:after="0"/>
        <w:tabs>
          <w:tab w:leader="none" w:pos="4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Class F Units sold to employees of affiliates of the Fund’s general partner, TPG Private Equity Opportunities GenPar, L.P.</w:t>
      </w:r>
    </w:p>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offer and sale of the Units were made as part of the Fund’s continuous private offering and were exempt from the registration provisions of the Securities Act of 1933, as amended, pursuant to Section 4(a)(2) and Regulation D thereunder. Units were sold to third-party investors, including through TPG Private Equity Opportunities (TE), L.P. (“Feeder TE”), a Delaware limited partnership, for certain investors with particular tax characteristics, such as tax-exempt investors and non-U.S. investors, and that invests substantial majority of its assets indirectly in the Fund’s Class R-I Units. Out of the Units reflected in the table above, (i) 1,040,576 Class I Units and (ii) 4,402 Class F Units, were issued to Feeder TE in connection with Feeder TE’s issuance of Class S_TE and Class I_TE Units, and Class F_TE Units, respectively, to third party investors.</w:t>
      </w:r>
    </w:p>
    <w:p>
      <w:pPr>
        <w:spacing w:after="0" w:line="2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Fund, alongside certain parallel investment entities, invest substantially all of their assets in T-POP US Aggregator (CYM), L.P. (the “Aggregator”, and collectively with the Fund, Feeder TE and such parallel investment entities, the “T-POP Fund Complex”). On June 1, 2026, the T-POP Fund Complex (inclusive of the Fund) issued interests for aggregate consideration of approximately $119.1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Transactional Net Asset Value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Fund calculates the transactional net asset value (“Transactional NAV”) for purposes of establishing the price at which transactions in the respective Units are made. A description of the Fund’s valuation process was included under “Calculation of Net Asset Value” within “Item 5. Market for Registrant's Common Equity, Related Stockholder Matters and Issuer Purchases of Equity Securities” in the Fund’s Annual Report on Form 10-K for the year ended December 31, 2025 filed with the Securities and Exchange Commission on March 23, 2026. Transactional NAV is based on the month-end values of the Fund’s investments and other assets and the deduction of any respective liabilities, including certain fees and expenses, in all cases as determined in accordance with the valuation policy that has been approved by the Fund’s board of directors. Organizational and offering expenses advanced on the Fund’s behalf by its investment manager will be recognized as a reduction to Transactional NAV ratably over 60 months beginning in June 2026, and servicing fees, as applicable, are recognized as a reduction to Transactional NAV on a monthly basis as such fees are accrued. Certain contingent tax liabilities may not be recognized as a reduction to Transactional NAV if the Fund’s general partner reasonably expects such liabilities will not be recognized upon divestment of the underlying investment. Transactional NAV per Unit may differ from the Fund’s net asset value as determined in accordance with accounting principles generally accepted in the United States of America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major components of the Fund’s Transactional Net Asset Value as of May 31, 2026 ($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Components of T-POP’s Transactional Net Asset Value</w:t>
            </w:r>
          </w:p>
        </w:tc>
        <w:tc>
          <w:tcPr>
            <w:tcW w:w="340" w:type="dxa"/>
            <w:vAlign w:val="bottom"/>
          </w:tcPr>
          <w:p>
            <w:pPr>
              <w:spacing w:after="0"/>
              <w:rPr>
                <w:sz w:val="18"/>
                <w:szCs w:val="18"/>
                <w:color w:val="auto"/>
              </w:rPr>
            </w:pPr>
          </w:p>
        </w:tc>
        <w:tc>
          <w:tcPr>
            <w:tcW w:w="168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May 31, 2026</w:t>
            </w:r>
          </w:p>
        </w:tc>
      </w:tr>
      <w:tr>
        <w:trPr>
          <w:trHeight w:val="33"/>
        </w:trPr>
        <w:tc>
          <w:tcPr>
            <w:tcW w:w="9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the Aggregator (cost of $1,366,860)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1,632,914</w:t>
            </w:r>
          </w:p>
        </w:tc>
      </w:tr>
      <w:tr>
        <w:trPr>
          <w:trHeight w:val="24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0"/>
        </w:trPr>
        <w:tc>
          <w:tcPr>
            <w:tcW w:w="9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63"/>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Performance Participation Allocation</w:t>
            </w:r>
          </w:p>
        </w:tc>
        <w:tc>
          <w:tcPr>
            <w:tcW w:w="3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w:t>
            </w:r>
          </w:p>
        </w:tc>
      </w:tr>
      <w:tr>
        <w:trPr>
          <w:trHeight w:val="24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Fee Payable</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40"/>
        </w:trPr>
        <w:tc>
          <w:tcPr>
            <w:tcW w:w="9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84"/>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Servicing Fee Payable </w:t>
            </w:r>
            <w:r>
              <w:rPr>
                <w:rFonts w:ascii="Times New Roman" w:cs="Times New Roman" w:eastAsia="Times New Roman" w:hAnsi="Times New Roman"/>
                <w:sz w:val="23"/>
                <w:szCs w:val="23"/>
                <w:color w:val="auto"/>
                <w:vertAlign w:val="superscript"/>
              </w:rPr>
              <w:t>(a)</w:t>
            </w:r>
          </w:p>
        </w:tc>
        <w:tc>
          <w:tcPr>
            <w:tcW w:w="34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4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41"/>
        </w:trPr>
        <w:tc>
          <w:tcPr>
            <w:tcW w:w="9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95"/>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Transactional Net Asset Value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1,618,980</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jc w:val="both"/>
        <w:ind w:left="500" w:hanging="492"/>
        <w:spacing w:after="0" w:line="263" w:lineRule="auto"/>
        <w:tabs>
          <w:tab w:leader="none" w:pos="49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Servicing Fees Payable only apply to Class R-S and Class R-D Units. For purposes of T-POP’s Transactional NAV, the fees are recognized as a reduction of T-POP’s Transactional NAV on a monthly basis. For purposes of calculating net asset value in accordance with GAAP, the Fund accrues the cost of the servicing fees, as applicable, for the estimated life of the units as an offering cost at the time the Fund sells Class R-S Units and Class R-D Units.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Fund’s Transactional Net Asset Value per Unit by class as of May 31, 2026:</w:t>
      </w: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jc w:val="right"/>
              <w:ind w:right="854"/>
              <w:spacing w:after="0"/>
              <w:rPr>
                <w:sz w:val="20"/>
                <w:szCs w:val="20"/>
                <w:color w:val="auto"/>
              </w:rPr>
            </w:pPr>
            <w:r>
              <w:rPr>
                <w:rFonts w:ascii="Times New Roman" w:cs="Times New Roman" w:eastAsia="Times New Roman" w:hAnsi="Times New Roman"/>
                <w:sz w:val="16"/>
                <w:szCs w:val="16"/>
                <w:b w:val="1"/>
                <w:bCs w:val="1"/>
                <w:color w:val="auto"/>
              </w:rPr>
              <w:t>May 31, 2026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33"/>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7"/>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Transactional NAV</w:t>
            </w:r>
          </w:p>
        </w:tc>
      </w:tr>
      <w:tr>
        <w:trPr>
          <w:trHeight w:val="212"/>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Transactional NAV per Unit</w:t>
            </w:r>
          </w:p>
        </w:tc>
        <w:tc>
          <w:tcPr>
            <w:tcW w:w="100" w:type="dxa"/>
            <w:vAlign w:val="bottom"/>
          </w:tcPr>
          <w:p>
            <w:pPr>
              <w:spacing w:after="0"/>
              <w:rPr>
                <w:sz w:val="18"/>
                <w:szCs w:val="18"/>
                <w:color w:val="auto"/>
              </w:rPr>
            </w:pPr>
          </w:p>
        </w:tc>
        <w:tc>
          <w:tcPr>
            <w:tcW w:w="2780" w:type="dxa"/>
            <w:vAlign w:val="bottom"/>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 in thousands)</w:t>
            </w:r>
          </w:p>
        </w:tc>
      </w:tr>
      <w:tr>
        <w:trPr>
          <w:trHeight w:val="33"/>
        </w:trPr>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77"/>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Class R-I </w:t>
            </w:r>
            <w:r>
              <w:rPr>
                <w:rFonts w:ascii="Times New Roman" w:cs="Times New Roman" w:eastAsia="Times New Roman" w:hAnsi="Times New Roman"/>
                <w:sz w:val="23"/>
                <w:szCs w:val="23"/>
                <w:color w:val="auto"/>
                <w:vertAlign w:val="superscript"/>
              </w:rPr>
              <w:t>(a)</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shd w:val="clear" w:color="auto" w:fill="CCEEFF"/>
          </w:tcPr>
          <w:p>
            <w:pPr>
              <w:spacing w:after="0"/>
              <w:rPr>
                <w:sz w:val="24"/>
                <w:szCs w:val="24"/>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25,807,497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844,076</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R-S</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17,761,502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575,924</w:t>
            </w:r>
          </w:p>
        </w:tc>
      </w:tr>
      <w:tr>
        <w:trPr>
          <w:trHeight w:val="40"/>
        </w:trPr>
        <w:tc>
          <w:tcPr>
            <w:tcW w:w="25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2520" w:type="dxa"/>
            <w:vAlign w:val="bottom"/>
          </w:tcPr>
          <w:p>
            <w:pPr>
              <w:spacing w:after="0"/>
              <w:rPr>
                <w:sz w:val="3"/>
                <w:szCs w:val="3"/>
                <w:color w:val="auto"/>
              </w:rPr>
            </w:pPr>
          </w:p>
        </w:tc>
        <w:tc>
          <w:tcPr>
            <w:tcW w:w="2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64"/>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R-D</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F</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5,506,402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187,619</w:t>
            </w:r>
          </w:p>
        </w:tc>
      </w:tr>
      <w:tr>
        <w:trPr>
          <w:trHeight w:val="40"/>
        </w:trPr>
        <w:tc>
          <w:tcPr>
            <w:tcW w:w="2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880" w:type="dxa"/>
            <w:vAlign w:val="bottom"/>
            <w:gridSpan w:val="2"/>
          </w:tcPr>
          <w:p>
            <w:pPr>
              <w:spacing w:after="0"/>
              <w:rPr>
                <w:sz w:val="3"/>
                <w:szCs w:val="3"/>
                <w:color w:val="auto"/>
              </w:rPr>
            </w:pPr>
          </w:p>
        </w:tc>
        <w:tc>
          <w:tcPr>
            <w:tcW w:w="500" w:type="dxa"/>
            <w:vAlign w:val="bottom"/>
            <w:gridSpan w:val="2"/>
          </w:tcPr>
          <w:p>
            <w:pPr>
              <w:spacing w:after="0"/>
              <w:rPr>
                <w:sz w:val="3"/>
                <w:szCs w:val="3"/>
                <w:color w:val="auto"/>
              </w:rPr>
            </w:pPr>
          </w:p>
        </w:tc>
        <w:tc>
          <w:tcPr>
            <w:tcW w:w="2380" w:type="dxa"/>
            <w:vAlign w:val="bottom"/>
          </w:tcPr>
          <w:p>
            <w:pPr>
              <w:spacing w:after="0"/>
              <w:rPr>
                <w:sz w:val="3"/>
                <w:szCs w:val="3"/>
                <w:color w:val="auto"/>
              </w:rPr>
            </w:pPr>
          </w:p>
        </w:tc>
      </w:tr>
      <w:tr>
        <w:trPr>
          <w:trHeight w:val="290"/>
        </w:trPr>
        <w:tc>
          <w:tcPr>
            <w:tcW w:w="2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CCEEFF"/>
              <w:bottom w:val="single" w:sz="8" w:color="CCEEFF"/>
            </w:tcBorders>
            <w:shd w:val="clear" w:color="auto" w:fill="CCEEFF"/>
          </w:tcPr>
          <w:p>
            <w:pPr>
              <w:spacing w:after="0"/>
              <w:rPr>
                <w:sz w:val="24"/>
                <w:szCs w:val="24"/>
                <w:color w:val="auto"/>
              </w:rPr>
            </w:pPr>
          </w:p>
        </w:tc>
        <w:tc>
          <w:tcPr>
            <w:tcW w:w="252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49,423,656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1,618,980</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Transactional NAV per Unit for Class R-I does not reflect Feeder TE specific expenses and other net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2"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6560" w:type="dxa"/>
            <w:vAlign w:val="bottom"/>
            <w:gridSpan w:val="2"/>
          </w:tcPr>
          <w:p>
            <w:pPr>
              <w:ind w:left="2340"/>
              <w:spacing w:after="0"/>
              <w:rPr>
                <w:sz w:val="20"/>
                <w:szCs w:val="20"/>
                <w:color w:val="auto"/>
              </w:rPr>
            </w:pPr>
            <w:r>
              <w:rPr>
                <w:rFonts w:ascii="Times New Roman" w:cs="Times New Roman" w:eastAsia="Times New Roman" w:hAnsi="Times New Roman"/>
                <w:sz w:val="18"/>
                <w:szCs w:val="18"/>
                <w:b w:val="1"/>
                <w:bCs w:val="1"/>
                <w:color w:val="auto"/>
              </w:rPr>
              <w:t>TPG Private Equity Opportunities, L.P.</w:t>
            </w:r>
          </w:p>
        </w:tc>
      </w:tr>
      <w:tr>
        <w:trPr>
          <w:trHeight w:val="55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Dated: June 24, 2026</w:t>
            </w:r>
          </w:p>
        </w:tc>
        <w:tc>
          <w:tcPr>
            <w:tcW w:w="30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 White</w:t>
            </w:r>
          </w:p>
        </w:tc>
      </w:tr>
      <w:tr>
        <w:trPr>
          <w:trHeight w:val="41"/>
        </w:trPr>
        <w:tc>
          <w:tcPr>
            <w:tcW w:w="3860" w:type="dxa"/>
            <w:vAlign w:val="bottom"/>
          </w:tcPr>
          <w:p>
            <w:pPr>
              <w:spacing w:after="0"/>
              <w:rPr>
                <w:sz w:val="3"/>
                <w:szCs w:val="3"/>
                <w:color w:val="auto"/>
              </w:rPr>
            </w:pPr>
          </w:p>
        </w:tc>
        <w:tc>
          <w:tcPr>
            <w:tcW w:w="308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r>
      <w:tr>
        <w:trPr>
          <w:trHeight w:val="237"/>
        </w:trPr>
        <w:tc>
          <w:tcPr>
            <w:tcW w:w="3860" w:type="dxa"/>
            <w:vAlign w:val="bottom"/>
          </w:tcPr>
          <w:p>
            <w:pPr>
              <w:spacing w:after="0"/>
              <w:rPr>
                <w:sz w:val="20"/>
                <w:szCs w:val="20"/>
                <w:color w:val="auto"/>
              </w:rPr>
            </w:pPr>
          </w:p>
        </w:tc>
        <w:tc>
          <w:tcPr>
            <w:tcW w:w="30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 White</w:t>
            </w:r>
          </w:p>
        </w:tc>
      </w:tr>
      <w:tr>
        <w:trPr>
          <w:trHeight w:val="283"/>
        </w:trPr>
        <w:tc>
          <w:tcPr>
            <w:tcW w:w="3860" w:type="dxa"/>
            <w:vAlign w:val="bottom"/>
          </w:tcPr>
          <w:p>
            <w:pPr>
              <w:spacing w:after="0"/>
              <w:rPr>
                <w:sz w:val="24"/>
                <w:szCs w:val="24"/>
                <w:color w:val="auto"/>
              </w:rPr>
            </w:pPr>
          </w:p>
        </w:tc>
        <w:tc>
          <w:tcPr>
            <w:tcW w:w="30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108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2026-06-24T07:07:09Z</dcterms:created>
  <dcterms:modified xsi:type="dcterms:W3CDTF">2026-06-24T07:07:09Z</dcterms:modified>
</cp:coreProperties>
</file>