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Raj Nehal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3"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498"/>
        <w:gridCol w:w="303"/>
        <w:gridCol w:w="906"/>
        <w:gridCol w:w="801"/>
        <w:gridCol w:w="891"/>
        <w:gridCol w:w="636"/>
        <w:gridCol w:w="801"/>
        <w:gridCol w:w="966"/>
        <w:gridCol w:w="831"/>
        <w:gridCol w:w="1056"/>
      </w:tblGrid>
      <w:tr>
        <w:trPr>
          <w:tblHeader w:val="true"/>
        </w:trPr>
        <w:tc>
          <w:tcPr>
            <w:tcW w:w="120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3,432,583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Personal Investment Vehicle</w:t>
            </w:r>
            <w:r>
              <w:rPr>
                <w:rFonts w:ascii="Times;serif" w:hAnsi="Times;serif"/>
                <w:color w:val="008000"/>
                <w:position w:val="7"/>
                <w:sz w:val="16"/>
                <w:sz w:val="20"/>
                <w:shd w:fill="FFFFFF" w:val="clear"/>
              </w:rPr>
              <w:t>(3)(4)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382 additional units ("TPH Units") of TPG Partner Holdings, L.P. ("Partner Holdings") were allocated automatically to the Reporting Person in accordance with Partner Holdings' limited partnership agreement upon their forfeiture by a former partner of Partner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Amended and Restated Exchange Agreement filed by TPG Inc. (the "Issuer") with the Securities and Exchange Commission (the "Commission") on November 2, 2023, TPH Units are ultimately exchangeable for cash or, at the Issuer's election, shares of Class A common stock of the Issuer on a one-for-one basis, subject to customary conversion rate adjustments and transfer restrictions (the "exchange consideration"). Upon an exchange of TPH Units, an equal number of Common Units of TPG Operating Group II, L.P. held by TPG Group Holdings (SBS), L.P. ("Group Holdings"), of which Partner Holdings is an indirect limited partner, are exchanged on a one-for-one basis for the exchange consideration, and an equal number of shares of Class B common stock of the Issuer also held by Group Holdings will be automatically cancelled for no additional consideration. Each share of Class B common stock entitles the holder to ten votes per share but carries no economic rights.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Because of the relationship between the Reporting Person and the entity holding these securities, the Reporting Person may be deemed to beneficially own these securities to the extent of the greater of the Reporting Person's direct or indirect pecuniary interest in the profits, capital accounts or distributions of the holder. The Reporting Person disclaims beneficial ownership of these securities, except to the extent of the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Rule 16a-1(a)(4) under the Securities Exchange Act of 1934, as amended (the "Exchange Act"), this filing shall not be deemed an admission that the Reporting Person is, for purposes of Section 16 of the Exchange Act or otherwise, the beneficial owner of any equity securities in excess of the Reporting Person's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Jennifer Chu is signing on behalf of Mr. Raj pursuant to the power of attorney dated August 16, 2025, which was previously filed with the Commission.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3964"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932</Words>
  <Characters>5039</Characters>
  <CharactersWithSpaces>5894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