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3820" w:right="1680" w:hanging="3794"/>
        <w:spacing w:after="0" w:line="302" w:lineRule="auto"/>
        <w:tabs>
          <w:tab w:leader="none" w:pos="426"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360" w:right="1660" w:hanging="4334"/>
        <w:spacing w:after="0" w:line="302" w:lineRule="auto"/>
        <w:tabs>
          <w:tab w:leader="none" w:pos="41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001-41222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TPG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6"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50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87-2063362</w:t>
            </w:r>
          </w:p>
        </w:tc>
      </w:tr>
      <w:tr>
        <w:trPr>
          <w:trHeight w:val="216"/>
        </w:trPr>
        <w:tc>
          <w:tcPr>
            <w:tcW w:w="5020" w:type="dxa"/>
            <w:vAlign w:val="bottom"/>
          </w:tcPr>
          <w:p>
            <w:pPr>
              <w:jc w:val="center"/>
              <w:ind w:right="107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54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50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301 Commerce Street, Suite 3300</w:t>
            </w:r>
          </w:p>
        </w:tc>
        <w:tc>
          <w:tcPr>
            <w:tcW w:w="354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76102</w:t>
            </w:r>
          </w:p>
        </w:tc>
      </w:tr>
      <w:tr>
        <w:trPr>
          <w:trHeight w:val="216"/>
        </w:trPr>
        <w:tc>
          <w:tcPr>
            <w:tcW w:w="502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Fort Worth, TX</w:t>
            </w:r>
          </w:p>
        </w:tc>
        <w:tc>
          <w:tcPr>
            <w:tcW w:w="354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57"/>
        </w:trPr>
        <w:tc>
          <w:tcPr>
            <w:tcW w:w="4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Class A common stock</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TPG</w:t>
            </w:r>
          </w:p>
        </w:tc>
        <w:tc>
          <w:tcPr>
            <w:tcW w:w="45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3"/>
        </w:trPr>
        <w:tc>
          <w:tcPr>
            <w:tcW w:w="4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158"/>
        </w:trPr>
        <w:tc>
          <w:tcPr>
            <w:tcW w:w="4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6.950% Subordinated Notes due 2064</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TPGXL</w:t>
            </w:r>
          </w:p>
        </w:tc>
        <w:tc>
          <w:tcPr>
            <w:tcW w:w="45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3"/>
        </w:trPr>
        <w:tc>
          <w:tcPr>
            <w:tcW w:w="4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6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67"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5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8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102"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As of April 28, 2026, there were 153,854,054 shares of the registrant’s Class A common stock, 6,605,963 shares of the registrant’s nonvoting Class A common stock and 223,852,327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60" w:type="dxa"/>
            <w:vAlign w:val="bottom"/>
            <w:gridSpan w:val="7"/>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8060" w:type="dxa"/>
            <w:vAlign w:val="bottom"/>
            <w:gridSpan w:val="10"/>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260" w:type="dxa"/>
            <w:vAlign w:val="bottom"/>
            <w:tcBorders>
              <w:bottom w:val="single" w:sz="8" w:color="0000FF"/>
            </w:tcBorders>
            <w:gridSpan w:val="10"/>
            <w:vMerge w:val="continue"/>
          </w:tcPr>
          <w:p>
            <w:pPr>
              <w:spacing w:after="0"/>
              <w:rPr>
                <w:sz w:val="24"/>
                <w:szCs w:val="24"/>
                <w:color w:val="auto"/>
              </w:rPr>
            </w:pPr>
          </w:p>
        </w:tc>
        <w:tc>
          <w:tcPr>
            <w:tcW w:w="8060" w:type="dxa"/>
            <w:vAlign w:val="bottom"/>
            <w:gridSpan w:val="10"/>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Financial Statements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Financial Condition (unaudited) as of March 31, 2026 and December 31, 2025</w:t>
            </w:r>
          </w:p>
        </w:tc>
        <w:tc>
          <w:tcPr>
            <w:tcW w:w="780" w:type="dxa"/>
            <w:vAlign w:val="bottom"/>
            <w:gridSpan w:val="3"/>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 for the Three Months Ended March 31, 2026 and 2025</w:t>
            </w:r>
          </w:p>
        </w:tc>
        <w:tc>
          <w:tcPr>
            <w:tcW w:w="780" w:type="dxa"/>
            <w:vAlign w:val="bottom"/>
            <w:gridSpan w:val="3"/>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(unaudited) for the Three Months Ended March 31, 2026 and 2025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31, 2026 and 2025</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10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540" w:type="dxa"/>
            <w:vAlign w:val="bottom"/>
            <w:tcBorders>
              <w:top w:val="single" w:sz="8" w:color="0000FF"/>
            </w:tcBorders>
            <w:gridSpan w:val="4"/>
          </w:tcPr>
          <w:p>
            <w:pPr>
              <w:spacing w:after="0"/>
              <w:rPr>
                <w:sz w:val="20"/>
                <w:szCs w:val="20"/>
                <w:color w:val="auto"/>
              </w:rPr>
            </w:pPr>
          </w:p>
        </w:tc>
        <w:tc>
          <w:tcPr>
            <w:tcW w:w="74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tcBorders>
              <w:left w:val="single" w:sz="8" w:color="0000FF"/>
            </w:tcBorders>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06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6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such as those contained in “Item 2.—Management’s Discussion and Analysis of Financial Condition and Results of Operations.”</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including, but not limited to, those described in “Item 1A.—Risk Factors” herein and in our Annual Report on Form 10-K for the year ended December 31, 2025 (our “Annual Report”) filed with the United States Securities and Exchange Commission (“SEC”) on February 17, 2026 and in subsequent filings with the SEC, as such factors may be updated from time to time in our periodic filings with the SEC, which are accessible on the SEC’s website at https://www.sec.gov, and “Item 2.—Management’s Discussion and Analysis of Financial Condition and Results of Operations.”</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Quarterly Report on Form 10-Q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use our website (https://www.tpg.com), Rise website (https://therisefund.com), TPG Angelo Gordon website (https://www.angelogordon.com), TPG Private Equity Opportunities website (https://tpop.tpg.com), TPG Twin Brook website (https://twincp.com), TPG Twin Brook Capital Income Fund website (https://agtbcap.com), Microsites (https://software.tpg.com, https://healthcare.tpg.com), TPG LinkedIn (https://www.linkedin.com/company/tpg-capital), TPG Angelo Gordon LinkedIn (https://www.linkedin.com/company/tpg-angelo-gordon), TPG Twin Brook LinkedIn (https://www.linkedin.com/company/twin-brook-capital-partners), Peppertree LinkedIn (https://www.linkedin.com/company/peppertree-capital), X (formerly known as Twitter) (https://x.com/tpg), Vimeo (https://vimeo.com/user52190696), TPG YouTube (https://www.youtube.com/@tpg-inc), Rise</w:t>
      </w:r>
    </w:p>
    <w:p>
      <w:pPr>
        <w:spacing w:after="0" w:line="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YouTube (https://www.youtube.com/channel/UCo8p2iF_I5p-Wr2_MQlzedw/featured), TPG Instagram (https://www.instagram.com/TPG_INCORPORATED)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USED IN THIS REPORT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225"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“the Company,” “we,” “our” and “us,” or like terms, refer to TPG Inc. and its consolidated subsidiaries taken as a whole.</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“Angelo Gordon” refers, collectively, to Angelo, Gordon &amp; Co., L.P. (“AG OpCo”) and AG Funds L.P. (“AG CarryCo”), each a Delaware limited partnership.</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refers to Class A common stock of TPG Inc., which entitles the holder to one vote per share. When we use the term “Class A common stock” in this Quarterly Report on Form 10-Q, we are referring exclusively to such voting Class A common stock and not to “nonvoting Class A common stock.”</w:t>
      </w:r>
    </w:p>
    <w:p>
      <w:pPr>
        <w:spacing w:after="0" w:line="17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refers to Class B common stock of TPG Inc., which entitles the holder to ten votes per share until the Sunset but carries no economic rights.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 refers to a common unit in the TPG Operating Group.</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Agreement” refers to the Amended and Restated Exchange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to David Bonderman and James G. (“Jim”) Coulter.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LLC” refers to TPG GP A, LLC, the owner of the general partner of TPG Group Holdings.</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 refers to TPG Inc., and certain indirect consolidated subsidiaries of the Company, including TPG Operating Group I, L.P., TPG Operating Group III, L.P. and TPG Holdings II Sub, L.P., that agreed to guarantee the Senior Notes (as defined herein) and Subordinated Notes (as defined herein).</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Rights Agreement” refers to the Amended and Restated Investor Rights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our initial public offering of Class A common stock of TPG Inc. that was completed on January 18, 2022.</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Issuer” refers to TPG Operating Group II, L.P., an indirect consolidated subsidiary of the Company.</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funds” refers to the funds, investment vehicles and other entities and accounts that are managed or co-managed by TPG for which we, directly or indirectly, act as general partner or in a similar capacity.</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“Peppertree” refers to the business of Peppertree Capital Management, Inc., an Ohio corporation. Following the closing of the acquisition, we refer to Peppertree as “TPG Peppertree.”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refers to, collectively, Tarrant Remain Co I, L.P., a Delaware limited partnership, Tarrant Remain Co II, L.P., a Delaware limited partnership, and Tarrant Remain Co III, L.P., a Delaware limited partnership, which own the Excluded Assets, and Tarrant Remain Co GP, LLC, a Delaware limited liability company serving as their general partner.</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refers to the corporate reorganization, which included a corporate conversion of TPG Partners, LLC to a Delaware corporation named TPG Inc., in conjunction with the IPO.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pacing w:after="0" w:line="1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days, the requisite parties are unable to agree on the renewal of Mr. Winkelried’s employment agreement or the selection of a new Chief Executive Officer (“CEO”) in the event that Mr. Winkelried ceases to serve as our CEO, and (ii) the first day of the quarter immediately following the fifth anniversary of the IPO.</w:t>
      </w:r>
    </w:p>
    <w:p>
      <w:pPr>
        <w:spacing w:after="0" w:line="19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 refers to the Amended and Restated Tax Receivable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general partner entities” refers to certain entities that (i) serve as the general partner of certain TPG funds and (ii) are, or historically were, consolidated by TPG Group Holdings.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Group Holdings” refers to TPG Group Holdings (SBS), L.P., a Delaware limited partnership that is considered our predecessor for accounting purposes and is a TPG Partner Vehicle and direct owner of certain Common Units and Class B common stock.</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refers (i) for periods prior to giving effect to the Reorganization,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w:t>
      </w:r>
    </w:p>
    <w:p>
      <w:pPr>
        <w:spacing w:after="0" w:line="183"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Partner Holdings” refers to TPG Partner Holdings, L.P., a Delaware limited partnership, which is a TPG Partner Vehicle that indirectly owns substantially all of the economic interests of TPG Group Holdings, a TPG Partner Vehicle.</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spacing w:after="0" w:line="13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addition, for definitions of “Gross IRR,” “Net IRR,” “Gross MoM,” “Net IRR,” “Net MoM” and related terms, see “Item 2.—Management’s Discussion and Analysis of Financial Condition and Results of Operations—Operating Metrics—Fund Performance Metrics.”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851,399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826,105</w:t>
            </w:r>
          </w:p>
        </w:tc>
      </w:tr>
      <w:tr>
        <w:trPr>
          <w:trHeight w:val="229"/>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573,590</w:t>
            </w:r>
          </w:p>
        </w:tc>
      </w:tr>
      <w:tr>
        <w:trPr>
          <w:trHeight w:val="176"/>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Investments (includes assets pledged of $576,451 and $603,322 as of March 31, 2026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December 31, 2025, respectively</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9,049,455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9,211,816</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659,839</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498,188</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552,254</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860,676</w:t>
            </w:r>
          </w:p>
        </w:tc>
      </w:tr>
      <w:tr>
        <w:trPr>
          <w:trHeight w:val="230"/>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435,485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297,301</w:t>
            </w:r>
          </w:p>
        </w:tc>
      </w:tr>
      <w:tr>
        <w:trPr>
          <w:trHeight w:val="248"/>
        </w:trPr>
        <w:tc>
          <w:tcPr>
            <w:tcW w:w="7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13,307,346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13,492,935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230,523</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694,632</w:t>
            </w:r>
          </w:p>
        </w:tc>
      </w:tr>
      <w:tr>
        <w:trPr>
          <w:trHeight w:val="230"/>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1,722,547</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5,014,659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5,399,750</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604,593</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585,796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704,515</w:t>
            </w:r>
          </w:p>
        </w:tc>
      </w:tr>
      <w:tr>
        <w:trPr>
          <w:trHeight w:val="223"/>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9,582,575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9,356,560</w:t>
            </w:r>
          </w:p>
        </w:tc>
      </w:tr>
      <w:tr>
        <w:trPr>
          <w:trHeight w:val="196"/>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6"/>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175"/>
        </w:trPr>
        <w:tc>
          <w:tcPr>
            <w:tcW w:w="7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2,340,000,000 shares authorized (160,321,166 and</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4"/>
        </w:trPr>
        <w:tc>
          <w:tcPr>
            <w:tcW w:w="70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153,113,961 shares issued and outstanding as of March 31, 2026 and December 31, 2025,</w:t>
            </w: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176"/>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750,000,000 shares authorized (223,852,327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224,331,812 shares issued and outstanding as of March 31, 2026 and December 31, 2025,</w:t>
            </w: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175"/>
        </w:trPr>
        <w:tc>
          <w:tcPr>
            <w:tcW w:w="7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(0 issued and outstanding as</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March 31, 2026 and December 31, 2025)</w:t>
            </w:r>
          </w:p>
        </w:tc>
        <w:tc>
          <w:tcPr>
            <w:tcW w:w="30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1,476,444</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(291,604)</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2,951,158</w:t>
            </w:r>
          </w:p>
        </w:tc>
      </w:tr>
      <w:tr>
        <w:trPr>
          <w:trHeight w:val="223"/>
        </w:trPr>
        <w:tc>
          <w:tcPr>
            <w:tcW w:w="7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3,724,771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4,136,375</w:t>
            </w:r>
          </w:p>
        </w:tc>
      </w:tr>
      <w:tr>
        <w:trPr>
          <w:trHeight w:val="248"/>
        </w:trPr>
        <w:tc>
          <w:tcPr>
            <w:tcW w:w="7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13,307,346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13,492,935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consolidated total assets and liabilities as of March 31, 2026 and December 31, 2025 include assets and liabilities of variable interest entities (“VIEs”). These assets can be used only to satisfy obligations of the VIEs, and the creditors of the VIEs have recourse only to these assets, and not to TPG Inc. See Notes 2, 7 and 8 to the Condensed Consolidated Financial Statements.</w:t>
      </w:r>
    </w:p>
    <w:p>
      <w:pPr>
        <w:sectPr>
          <w:pgSz w:w="11900" w:h="16838" w:orient="portrait"/>
          <w:cols w:equalWidth="0" w:num="1">
            <w:col w:w="11240"/>
          </w:cols>
          <w:pgMar w:left="320" w:top="12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0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other</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620,022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543,455</w:t>
            </w: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allocation-based (loss) income</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491,421</w:t>
            </w:r>
          </w:p>
        </w:tc>
      </w:tr>
      <w:tr>
        <w:trPr>
          <w:trHeight w:val="223"/>
        </w:trPr>
        <w:tc>
          <w:tcPr>
            <w:tcW w:w="7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1,034,876</w:t>
            </w: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Cash-based compensation and benefits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223,570</w:t>
            </w:r>
          </w:p>
        </w:tc>
      </w:tr>
      <w:tr>
        <w:trPr>
          <w:trHeight w:val="230"/>
        </w:trPr>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255,136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205,832</w:t>
            </w:r>
          </w:p>
        </w:tc>
      </w:tr>
      <w:tr>
        <w:trPr>
          <w:trHeight w:val="229"/>
        </w:trPr>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298,705</w:t>
            </w:r>
          </w:p>
        </w:tc>
      </w:tr>
      <w:tr>
        <w:trPr>
          <w:trHeight w:val="223"/>
        </w:trPr>
        <w:tc>
          <w:tcPr>
            <w:tcW w:w="7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426,176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728,107</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164,311</w:t>
            </w: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31,382</w:t>
            </w: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w:t>
            </w:r>
          </w:p>
        </w:tc>
      </w:tr>
      <w:tr>
        <w:trPr>
          <w:trHeight w:val="223"/>
        </w:trPr>
        <w:tc>
          <w:tcPr>
            <w:tcW w:w="7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648,607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947,860</w:t>
            </w: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(loss)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losses from investment activities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r>
      <w:tr>
        <w:trPr>
          <w:trHeight w:val="223"/>
        </w:trPr>
        <w:tc>
          <w:tcPr>
            <w:tcW w:w="7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23"/>
        </w:trPr>
        <w:tc>
          <w:tcPr>
            <w:tcW w:w="7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94,177</w:t>
            </w:r>
          </w:p>
        </w:tc>
      </w:tr>
      <w:tr>
        <w:trPr>
          <w:trHeight w:val="230"/>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w:t>
            </w:r>
          </w:p>
        </w:tc>
      </w:tr>
      <w:tr>
        <w:trPr>
          <w:trHeight w:val="223"/>
        </w:trPr>
        <w:tc>
          <w:tcPr>
            <w:tcW w:w="7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87,828</w:t>
            </w:r>
          </w:p>
        </w:tc>
      </w:tr>
      <w:tr>
        <w:trPr>
          <w:trHeight w:val="230"/>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62,435</w:t>
            </w:r>
          </w:p>
        </w:tc>
      </w:tr>
      <w:tr>
        <w:trPr>
          <w:trHeight w:val="248"/>
        </w:trPr>
        <w:tc>
          <w:tcPr>
            <w:tcW w:w="7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(loss) income attributable to TPG Inc.</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data:</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 available to Class A common stock per share</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159,635,235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117,408,263</w:t>
            </w:r>
          </w:p>
        </w:tc>
      </w:tr>
      <w:tr>
        <w:trPr>
          <w:trHeight w:val="230"/>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383,711,322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369,358,961</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00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Shares of TPG Inc.</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TPG Inc.</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9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9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Total TPG</w:t>
            </w:r>
          </w:p>
        </w:tc>
        <w:tc>
          <w:tcPr>
            <w:tcW w:w="9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820" w:type="dxa"/>
            <w:vAlign w:val="bottom"/>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par value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Inc. Equity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153,113,961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224,331,812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$1,476,444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(291,604)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$1,185,217</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$2,951,158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$4,136,375</w:t>
            </w:r>
          </w:p>
        </w:tc>
        <w:tc>
          <w:tcPr>
            <w:tcW w:w="0" w:type="dxa"/>
            <w:vAlign w:val="bottom"/>
          </w:tcPr>
          <w:p>
            <w:pPr>
              <w:spacing w:after="0"/>
              <w:rPr>
                <w:sz w:val="1"/>
                <w:szCs w:val="1"/>
                <w:color w:val="auto"/>
              </w:rPr>
            </w:pPr>
          </w:p>
        </w:tc>
      </w:tr>
      <w:tr>
        <w:trPr>
          <w:trHeight w:val="213"/>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(123,276)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167,277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244,621</w:t>
            </w:r>
          </w:p>
        </w:tc>
        <w:tc>
          <w:tcPr>
            <w:tcW w:w="0" w:type="dxa"/>
            <w:vAlign w:val="bottom"/>
          </w:tcPr>
          <w:p>
            <w:pPr>
              <w:spacing w:after="0"/>
              <w:rPr>
                <w:sz w:val="1"/>
                <w:szCs w:val="1"/>
                <w:color w:val="auto"/>
              </w:rPr>
            </w:pPr>
          </w:p>
        </w:tc>
      </w:tr>
      <w:tr>
        <w:trPr>
          <w:trHeight w:val="213"/>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contributions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384,493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384,493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Dividends/distributions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(222,299)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(326,932)</w:t>
            </w:r>
          </w:p>
        </w:tc>
        <w:tc>
          <w:tcPr>
            <w:tcW w:w="0" w:type="dxa"/>
            <w:vAlign w:val="bottom"/>
          </w:tcPr>
          <w:p>
            <w:pPr>
              <w:spacing w:after="0"/>
              <w:rPr>
                <w:sz w:val="1"/>
                <w:szCs w:val="1"/>
                <w:color w:val="auto"/>
              </w:rPr>
            </w:pPr>
          </w:p>
        </w:tc>
      </w:tr>
      <w:tr>
        <w:trPr>
          <w:trHeight w:val="162"/>
        </w:trPr>
        <w:tc>
          <w:tcPr>
            <w:tcW w:w="300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Shares issued for net settlement of equity-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4,928,096</w:t>
            </w:r>
          </w:p>
        </w:tc>
        <w:tc>
          <w:tcPr>
            <w:tcW w:w="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based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Withholding taxes paid on net settlement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(94,690)</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(114,272)</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(208,962)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of equity-based awards</w:t>
            </w: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Deferred tax effects for Exchange of</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Common Units to TPG Inc. Class A</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common stock and other equity</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0" w:type="dxa"/>
            <w:vAlign w:val="bottom"/>
          </w:tcPr>
          <w:p>
            <w:pPr>
              <w:spacing w:after="0"/>
              <w:rPr>
                <w:sz w:val="1"/>
                <w:szCs w:val="1"/>
                <w:color w:val="auto"/>
              </w:rPr>
            </w:pPr>
          </w:p>
        </w:tc>
      </w:tr>
      <w:tr>
        <w:trPr>
          <w:trHeight w:val="213"/>
        </w:trPr>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reallocations</w:t>
            </w:r>
          </w:p>
        </w:tc>
        <w:tc>
          <w:tcPr>
            <w:tcW w:w="9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Equity reallocation between controlling</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non-controlling interest</w:t>
            </w: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Deconsolidation of previously</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(496,984)</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(496,984)</w:t>
            </w:r>
          </w:p>
        </w:tc>
        <w:tc>
          <w:tcPr>
            <w:tcW w:w="0" w:type="dxa"/>
            <w:vAlign w:val="bottom"/>
          </w:tcPr>
          <w:p>
            <w:pPr>
              <w:spacing w:after="0"/>
              <w:rPr>
                <w:sz w:val="1"/>
                <w:szCs w:val="1"/>
                <w:color w:val="auto"/>
              </w:rPr>
            </w:pPr>
          </w:p>
        </w:tc>
      </w:tr>
      <w:tr>
        <w:trPr>
          <w:trHeight w:val="213"/>
        </w:trPr>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entities</w:t>
            </w:r>
          </w:p>
        </w:tc>
        <w:tc>
          <w:tcPr>
            <w:tcW w:w="9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Shares issued in connection with Jackson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2,279,109</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51,297</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Transaction</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retired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160,321,166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223,852,327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1,530,686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1,133,379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2,591,392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$3,724,771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TPG Inc.</w:t>
      </w:r>
    </w:p>
    <w:p>
      <w:pPr>
        <w:ind w:left="2920"/>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06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 of TPG Inc.</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TPG Inc.</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w w:val="98"/>
              </w:rPr>
              <w:t>Class A</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900" w:type="dxa"/>
            <w:vAlign w:val="bottom"/>
            <w:gridSpan w:val="3"/>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Total TPG</w:t>
            </w:r>
          </w:p>
        </w:tc>
        <w:tc>
          <w:tcPr>
            <w:tcW w:w="900" w:type="dxa"/>
            <w:vAlign w:val="bottom"/>
            <w:gridSpan w:val="2"/>
            <w:vMerge w:val="continue"/>
          </w:tcPr>
          <w:p>
            <w:pPr>
              <w:spacing w:after="0"/>
              <w:rPr>
                <w:sz w:val="12"/>
                <w:szCs w:val="12"/>
                <w:color w:val="auto"/>
              </w:rPr>
            </w:pPr>
          </w:p>
        </w:tc>
        <w:tc>
          <w:tcPr>
            <w:tcW w:w="820" w:type="dxa"/>
            <w:vAlign w:val="bottom"/>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1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par value</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1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Inc. Equity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4"/>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109,211,355</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255,756,502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970,719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784,101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$2,807,888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$3,591,989</w:t>
            </w:r>
          </w:p>
        </w:tc>
        <w:tc>
          <w:tcPr>
            <w:tcW w:w="0" w:type="dxa"/>
            <w:vAlign w:val="bottom"/>
          </w:tcPr>
          <w:p>
            <w:pPr>
              <w:spacing w:after="0"/>
              <w:rPr>
                <w:sz w:val="1"/>
                <w:szCs w:val="1"/>
                <w:color w:val="auto"/>
              </w:rPr>
            </w:pPr>
          </w:p>
        </w:tc>
      </w:tr>
      <w:tr>
        <w:trPr>
          <w:trHeight w:val="213"/>
        </w:trPr>
        <w:tc>
          <w:tcPr>
            <w:tcW w:w="3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148,632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201,248</w:t>
            </w:r>
          </w:p>
        </w:tc>
        <w:tc>
          <w:tcPr>
            <w:tcW w:w="0" w:type="dxa"/>
            <w:vAlign w:val="bottom"/>
          </w:tcPr>
          <w:p>
            <w:pPr>
              <w:spacing w:after="0"/>
              <w:rPr>
                <w:sz w:val="1"/>
                <w:szCs w:val="1"/>
                <w:color w:val="auto"/>
              </w:rPr>
            </w:pPr>
          </w:p>
        </w:tc>
      </w:tr>
      <w:tr>
        <w:trPr>
          <w:trHeight w:val="213"/>
        </w:trPr>
        <w:tc>
          <w:tcPr>
            <w:tcW w:w="3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Dividends/distributions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(214,710)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(280,234)</w:t>
            </w:r>
          </w:p>
        </w:tc>
        <w:tc>
          <w:tcPr>
            <w:tcW w:w="0" w:type="dxa"/>
            <w:vAlign w:val="bottom"/>
          </w:tcPr>
          <w:p>
            <w:pPr>
              <w:spacing w:after="0"/>
              <w:rPr>
                <w:sz w:val="1"/>
                <w:szCs w:val="1"/>
                <w:color w:val="auto"/>
              </w:rPr>
            </w:pPr>
          </w:p>
        </w:tc>
      </w:tr>
      <w:tr>
        <w:trPr>
          <w:trHeight w:val="162"/>
        </w:trPr>
        <w:tc>
          <w:tcPr>
            <w:tcW w:w="30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issued for net settlement of equity-</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4,554,542</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based awards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Withholding taxes paid on net settlement of</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(180,112)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equity-based awards</w:t>
            </w:r>
          </w:p>
        </w:tc>
        <w:tc>
          <w:tcPr>
            <w:tcW w:w="9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 effects for Exchange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Common Units to TPG Inc. Class A</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common stock and other equity</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9,786,354</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(9,786,354)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15,784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15,784</w:t>
            </w:r>
          </w:p>
        </w:tc>
        <w:tc>
          <w:tcPr>
            <w:tcW w:w="0" w:type="dxa"/>
            <w:vAlign w:val="bottom"/>
          </w:tcPr>
          <w:p>
            <w:pPr>
              <w:spacing w:after="0"/>
              <w:rPr>
                <w:sz w:val="1"/>
                <w:szCs w:val="1"/>
                <w:color w:val="auto"/>
              </w:rPr>
            </w:pPr>
          </w:p>
        </w:tc>
      </w:tr>
      <w:tr>
        <w:trPr>
          <w:trHeight w:val="213"/>
        </w:trPr>
        <w:tc>
          <w:tcPr>
            <w:tcW w:w="3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reallocations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Equity reallocation between controlling and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77,215</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(77,215)</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9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123,552,251</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245,970,148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1,049,823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(227,114)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823,079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2,675,636</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$3,498,715</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2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8"/>
                <w:szCs w:val="18"/>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 income</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(123,276)</w:t>
            </w:r>
          </w:p>
        </w:tc>
        <w:tc>
          <w:tcPr>
            <w:tcW w:w="80" w:type="dxa"/>
            <w:vAlign w:val="bottom"/>
          </w:tcPr>
          <w:p>
            <w:pPr>
              <w:spacing w:after="0"/>
              <w:rPr>
                <w:sz w:val="19"/>
                <w:szCs w:val="19"/>
                <w:color w:val="auto"/>
              </w:rPr>
            </w:pPr>
          </w:p>
        </w:tc>
        <w:tc>
          <w:tcPr>
            <w:tcW w:w="128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87,828</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income to net cash provided by operating activities:</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255,136</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205,832</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Performance allocation compensation</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(66,148)</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298,705</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Net losses from investment activities</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Capital allocation-based loss (income)</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120,016</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(491,421)</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41,752</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31,382</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Non-cash lease expense</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15,436</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14,176</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non-cash activities</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(15,236)</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Purchases of investments</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(450,422)</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(191,135)</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Proceeds from investments</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609,400</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430,412</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Due from affiliates</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73,795</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assets</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(14,791)</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28,061</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27,960</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Due to affiliates</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64,086</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39,286</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performance allocation compensation</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(317,462)</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(236,959)</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liabilities</w:t>
            </w:r>
          </w:p>
        </w:tc>
        <w:tc>
          <w:tcPr>
            <w:tcW w:w="1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(44,929)</w:t>
            </w:r>
          </w:p>
        </w:tc>
        <w:tc>
          <w:tcPr>
            <w:tcW w:w="8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(18,111)</w:t>
            </w:r>
          </w:p>
        </w:tc>
      </w:tr>
      <w:tr>
        <w:trPr>
          <w:trHeight w:val="219"/>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176,549</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198,188</w:t>
            </w:r>
          </w:p>
        </w:tc>
      </w:tr>
      <w:tr>
        <w:trPr>
          <w:trHeight w:val="200"/>
        </w:trPr>
        <w:tc>
          <w:tcPr>
            <w:tcW w:w="7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Jackson common stock</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Purchases of fixed assets</w:t>
            </w: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(16,265)</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(6,347)</w:t>
            </w:r>
          </w:p>
        </w:tc>
      </w:tr>
      <w:tr>
        <w:trPr>
          <w:trHeight w:val="223"/>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(516,265)</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(6,347)</w:t>
            </w:r>
          </w:p>
        </w:tc>
      </w:tr>
      <w:tr>
        <w:trPr>
          <w:trHeight w:val="200"/>
        </w:trPr>
        <w:tc>
          <w:tcPr>
            <w:tcW w:w="7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debt obligations</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1,058,000</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255,000</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Repayment of debt obligations</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(433,000)</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(54,000)</w:t>
            </w: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Issuance costs on debt obligations</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(5,202)</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Withholding taxes paid on net settlement of equity-based awards</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(208,962)</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(180,112)</w:t>
            </w: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Contributions from holders of non-controlling interests</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311,118</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62,212</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Dividends/Distributions</w:t>
            </w: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(326,928)</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(260,877)</w:t>
            </w:r>
          </w:p>
        </w:tc>
      </w:tr>
      <w:tr>
        <w:trPr>
          <w:trHeight w:val="226"/>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Tax Receivable Agreement payments</w:t>
            </w: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(29,931)</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365,095</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(177,777)</w:t>
            </w: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change in cash, cash equivalents and restricted cash</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25,379</w:t>
            </w:r>
          </w:p>
        </w:tc>
        <w:tc>
          <w:tcPr>
            <w:tcW w:w="80" w:type="dxa"/>
            <w:vAlign w:val="bottom"/>
          </w:tcPr>
          <w:p>
            <w:pPr>
              <w:spacing w:after="0"/>
              <w:rPr>
                <w:sz w:val="19"/>
                <w:szCs w:val="19"/>
                <w:color w:val="auto"/>
              </w:rPr>
            </w:pPr>
          </w:p>
        </w:tc>
        <w:tc>
          <w:tcPr>
            <w:tcW w:w="128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14,064</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839,271</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821,192</w:t>
            </w:r>
          </w:p>
        </w:tc>
      </w:tr>
      <w:tr>
        <w:trPr>
          <w:trHeight w:val="227"/>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864,650</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835,256</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70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other cash flow information:</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19,232</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w:t>
            </w: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interest</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27,683</w:t>
            </w:r>
          </w:p>
        </w:tc>
      </w:tr>
      <w:tr>
        <w:trPr>
          <w:trHeight w:val="220"/>
        </w:trPr>
        <w:tc>
          <w:tcPr>
            <w:tcW w:w="70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end of period:</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851,399</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821,971</w:t>
            </w:r>
          </w:p>
        </w:tc>
      </w:tr>
      <w:tr>
        <w:trPr>
          <w:trHeight w:val="226"/>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13,251</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13,285</w:t>
            </w:r>
          </w:p>
        </w:tc>
      </w:tr>
      <w:tr>
        <w:trPr>
          <w:trHeight w:val="252"/>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864,650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835,256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variable interest entities, in which the Company is the primary beneficiary, held by TPG Operating Group II, L.P., a holding company (“TPG Operating Group”).</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TPG Inc. held approximately 42% of the outstanding Common Units of the TPG Operating Group.</w:t>
      </w:r>
    </w:p>
    <w:p>
      <w:pPr>
        <w:spacing w:after="0" w:line="221" w:lineRule="exact"/>
        <w:rPr>
          <w:sz w:val="20"/>
          <w:szCs w:val="20"/>
          <w:color w:val="auto"/>
        </w:rPr>
      </w:pPr>
    </w:p>
    <w:p>
      <w:pPr>
        <w:ind w:left="500" w:right="7680" w:hanging="492"/>
        <w:spacing w:after="0" w:line="503" w:lineRule="auto"/>
        <w:tabs>
          <w:tab w:leader="none" w:pos="19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“Condensed Consolidated Financial Statements”) have been prepared in accordance with accounting principles generally accepted in the United States of America (“U.S. GAAP”) and reflect all adjustments, consisting only of normal recurring adjustments, which are, in the opinion of management, necessary for a fair presentation of the Company’s Condensed Consolidated Financial Statements. The operating results presented for interim periods are not necessarily indicative of the results that may be expected for any other interim period or for the entire year. These condensed consolidated financial statements should be read in conjunction with the audited consolidated financial statements included in the Company’s Annual Report on Form 10-K for the year ended December 31, 2025 filed with the Securities and Exchange Commission. All dollar amounts are stated in thousands unless otherwise indicated. All intercompany transactions and balances have been eliminated. Certain comparative amounts for the prior fiscal year have been reclassified to conform to the financial statement presentation as of and for the period ended March 31, 2026.</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TPG Inc., TPG Operating Group and their consolidated subsidiaries, management companies, the general partners of funds and entities that meet the definition of a variable interest entity (“VIE”) for which the Company is considered the primary beneficiary.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expenses, and investment income during the reporting periods. Actual results could differ from those estimates and such differences could be material to the Condensed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types of entities TPG assesses for consolidation include subsidiaries, management companies, broker-dealers, general partners of investment funds, investment funds and other entities. Each of these entities is assessed for consolidation on a case by case basis depending on the specific facts and circumstances surrounding that entity.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 performance or the obligation to absorb the expected losses or right to receive the expected residual returns, and (iii) 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limited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an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Entities that are determined not to be VIEs are generally considered to be VOEs and are evaluated under the voting interest model. TPG consolidates VOEs that it controls through a majority voting interest or through other means.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 Performance Allocations and Capital Interests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TPG funds are considered investment companies under Accounting Standards Codification (“ASC” or the “Codification”) Topic 946,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 Investment Companies </w:t>
      </w:r>
      <w:r>
        <w:rPr>
          <w:rFonts w:ascii="Times New Roman" w:cs="Times New Roman" w:eastAsia="Times New Roman" w:hAnsi="Times New Roman"/>
          <w:sz w:val="18"/>
          <w:szCs w:val="18"/>
          <w:color w:val="auto"/>
        </w:rPr>
        <w:t>(“ASC 946”). The Company, along with the TPG funds, applies the specialized accounting promulgated in ASC 946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neither the 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 interest, depreciation and taxes, of the portfolio company. The comparability of the identified set of comparable companies to the portfolio company, among other factors, is considered in the application of the market approach.</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market participant assumptions are used in the determination of the discount rate.</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Condensed Consolidated Financial Statements may differ materially from values that would have been used had a readily available market existed for such investments and may differ materially from the values that may ultimately be realized.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Investments Held to Maturity</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holds investments in the notes issued by collateralized loan obligation (“CLO”) funds that are held to maturity. The Company has the intent and ability to hold these investments until maturity. Held to maturity securities are stated at amortized cost, adjusted for amortization of premiums and accretion of discounts to maturity computed under the effective interest method. The effective interest method uses projected cash flows and includes uncertainties and contingencies that are difficult to predict and are subject to future events that may impact estimated interest income prospectively. Certain tranches of the notes were purchased at a discount and are being amortized back to par value until they mature at various dates between 2033 to 2035. If the Company failed to keep these investments as held to maturity it would be required to reclassify them as trading securities and would measure at fair value. Where applicable, impairment is recognized related to investments in the CLO funds in accordance with U.S. GAAP. The CLO funds evaluate securities for impairment on a security-by-security basis based on adverse changes in expected cash flows.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Investments – Other</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 Fair Value Option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holds non-controlling ownership interests in which it does not have significant influence over their operations. The Company records such investments at fair value.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Investments Held for Sale and Other</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Investments held for sale and other are held primarily for the purpose of selling in the near term. The Company elects the fair value option, in accordance with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certain investments held for sale with changes in fair value recognized in net gains (losses) from investment activities in the Condensed Consolidated Financial Statements. Such election is irrevocable and is applied on an investment-by-investment basis at initial recognition. Management believes that the election of the fair value option for investments held for sale improves financial reporting by presenting the most relevant market indication of investments held for sale. The Company records investments held for sale and other at fair value using discounted cash flow and market comparable approaches. Interest income on investments held for sale and other is calculated based upon the contractual rate of the investment, where applicable, and recorded in interest, dividends and other in the Condensed Consolidated Financial Statements. For investments held for sale, up-front costs and certain other fees are expensed as incurred, or at the time of funding for the respective investment.</w:t>
      </w:r>
    </w:p>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Non-controlling interests consists of ownership interests held by third-party investors in certain entities that are consolidated, but not 100% owned. The aggregate of the income or loss and corresponding equity that is not owned by the Company is included in non-controlling interests in the Condensed Consolidated Financial Statements. Allocation of income to non-controlling interest holders is based on the respective entities’ governing documents.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38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2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r>
      <w:tr>
        <w:trPr>
          <w:trHeight w:val="245"/>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260" w:type="dxa"/>
            <w:vAlign w:val="bottom"/>
            <w:tcBorders>
              <w:bottom w:val="single" w:sz="8" w:color="CCEEFF"/>
            </w:tcBorders>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479,429</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418,951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Monitoring fees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57,398</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62,991</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620,022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543,455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450,560</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1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40,861</w:t>
            </w:r>
          </w:p>
        </w:tc>
      </w:tr>
      <w:tr>
        <w:trPr>
          <w:trHeight w:val="22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capital allocation-based (loss) income</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(120,016)</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491,421</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500,006</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1,034,876</w:t>
            </w:r>
          </w:p>
        </w:tc>
      </w:tr>
      <w:tr>
        <w:trPr>
          <w:trHeight w:val="20"/>
        </w:trPr>
        <w:tc>
          <w:tcPr>
            <w:tcW w:w="7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Fees and Other</w:t>
      </w:r>
    </w:p>
    <w:p>
      <w:pPr>
        <w:spacing w:after="0" w:line="227" w:lineRule="exact"/>
        <w:rPr>
          <w:sz w:val="20"/>
          <w:szCs w:val="20"/>
          <w:color w:val="auto"/>
        </w:rPr>
      </w:pPr>
    </w:p>
    <w:p>
      <w:pPr>
        <w:jc w:val="both"/>
        <w:ind w:right="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Fees and other are accounted for as contracts with customers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guidance for contracts with customers provides a five-step framework that requires the 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 Streams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Customer</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Performance Obligations satisfied</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Variable or Fixed Consideration</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Revenue Recognition</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Classification of Uncollected</w:t>
            </w:r>
          </w:p>
        </w:tc>
        <w:tc>
          <w:tcPr>
            <w:tcW w:w="0" w:type="dxa"/>
            <w:vAlign w:val="bottom"/>
          </w:tcPr>
          <w:p>
            <w:pPr>
              <w:spacing w:after="0"/>
              <w:rPr>
                <w:sz w:val="1"/>
                <w:szCs w:val="1"/>
                <w:color w:val="auto"/>
              </w:rPr>
            </w:pP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 time or</w:t>
            </w:r>
          </w:p>
        </w:tc>
        <w:tc>
          <w:tcPr>
            <w:tcW w:w="18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Amounts</w:t>
            </w:r>
            <w:r>
              <w:rPr>
                <w:rFonts w:ascii="Times New Roman" w:cs="Times New Roman" w:eastAsia="Times New Roman" w:hAnsi="Times New Roman"/>
                <w:sz w:val="16"/>
                <w:szCs w:val="16"/>
                <w:color w:val="auto"/>
                <w:w w:val="91"/>
                <w:vertAlign w:val="superscript"/>
              </w:rPr>
              <w:t>(b)</w:t>
            </w:r>
          </w:p>
        </w:tc>
        <w:tc>
          <w:tcPr>
            <w:tcW w:w="0" w:type="dxa"/>
            <w:vAlign w:val="bottom"/>
          </w:tcPr>
          <w:p>
            <w:pPr>
              <w:spacing w:after="0"/>
              <w:rPr>
                <w:sz w:val="1"/>
                <w:szCs w:val="1"/>
                <w:color w:val="auto"/>
              </w:rPr>
            </w:pP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point in time</w:t>
            </w:r>
            <w:r>
              <w:rPr>
                <w:rFonts w:ascii="Times New Roman" w:cs="Times New Roman" w:eastAsia="Times New Roman" w:hAnsi="Times New Roman"/>
                <w:sz w:val="16"/>
                <w:szCs w:val="16"/>
                <w:color w:val="auto"/>
                <w:w w:val="94"/>
                <w:vertAlign w:val="superscript"/>
              </w:rPr>
              <w:t>(a)</w:t>
            </w:r>
          </w:p>
        </w:tc>
        <w:tc>
          <w:tcPr>
            <w:tcW w:w="186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5"/>
              </w:rPr>
              <w:t>Management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TPG funds, limited partners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Asset management services are satisfied</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variable since over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Management fees are recognized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Due from affiliates –</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 (daily) because the customer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time the management fee varies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unconsolidated VIEs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receives and consumes the benefits of</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based on fluctuations in the basis of</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value provided to the customer for</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advisory services daily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calculation of the fee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that reporting period</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Monitoring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Portfolio companies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 connection with the investment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variable when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Monitoring fees are recognized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advisory services provided, the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based on fluctuations in the basis of</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companies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Company earns monitoring fees for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calculation of the fee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value provided to the customer for</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providing oversight and advisory</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Consideration is fixed when based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that reporting period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8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services to certain portfolio companies</w:t>
            </w:r>
          </w:p>
        </w:tc>
        <w:tc>
          <w:tcPr>
            <w:tcW w:w="186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88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on a fixed agreed-upon amount</w:t>
            </w: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Transaction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Portfolio companies, third-</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company provides advisory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fixed and is based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Transaction fees are recognized 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parties 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services, debt and equity arrangements,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on a point in time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or shortly after the transaction is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companies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and underwriting and placement services</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completed</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Other assets – other</w:t>
            </w: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 a fee at a point in time</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Incentive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TPG funds, limited partners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Investment management services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Consideration is variable since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Incentive fees are recognized at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Due from affiliates –</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performed over a period of time that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incentive fees are contingent upon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end of the performance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unconsolidated VIEs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result in achievement of minimum</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TPG Fund or vehicles achieving</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measurement period if the</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investment return levels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more than the stipulated investment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investment performance is achieved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threshold return</w:t>
            </w: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5"/>
              </w:rPr>
              <w:t>Expense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TPG funds, portfolio</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Expense reimbursements incurred at a</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50"/>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8"/>
              </w:rPr>
              <w:t>Reimbursements and other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companies and third-parties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point in time relate to providing</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are fixed consideration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are recognized as the expenses are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companies and unconsolidated</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investment, management and monitoring</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incurred or services are rendered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VIEs</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services. Other revenue is performed</w:t>
            </w:r>
          </w:p>
        </w:tc>
        <w:tc>
          <w:tcPr>
            <w:tcW w:w="18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Other assets – other</w:t>
            </w: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significant judgments made in evaluating when a customer obtains control of the promised service for performance obligations satisfied at a point in time.</w:t>
      </w:r>
    </w:p>
    <w:p>
      <w:pPr>
        <w:spacing w:after="0" w:line="5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to the Condensed Consolidated Financial Statements for amounts classified in due from affiliates.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provides investment management services to the TPG funds, limited partners, separately managed accounts (“SMAs”) and clients, and other vehicles in exchange for a management fee. Management fees also include catch-up fees, also known as out-of-period management fees, which are fees paid in any given period that relate to a prior period, usually as the result of a new limited partner coming into a fund in a subsequent close. Management fees are determined quarterly based on an annual rate and are generally based upon a percentage of capital committed, net funded capital commitments, cost of investments, Net Asset Value (“NAV”) or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However, as these fees are payable on a regular basis, the uncertainty relating to the constraint becomes resolved and revenue is accordingly recognized at the end of the period. After the contract is established, management does not make any significant judgments in determining the transaction price.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Management fee rates generally range between the following:</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fee base</w:t>
            </w:r>
          </w:p>
        </w:tc>
        <w:tc>
          <w:tcPr>
            <w:tcW w:w="2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Low</w:t>
            </w:r>
          </w:p>
        </w:tc>
        <w:tc>
          <w:tcPr>
            <w:tcW w:w="21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Committed capital</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Actively invested capital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funded capital commitments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investments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2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management agreements with certain TPG funds, the Company is required to reduce management fees payable by funds by an agreed upon percentage of certain fees, including monitoring and transaction fees earned from portfolio companies. These amounts are generally applied as a reduction of the management fee that is otherwise billed to the investment fund and are recorded as a reduction of revenues in the Condensed Consolidated Statements of Operations. For the three months ended March 31, 2026 and 2025 these amounts totaled $8.8 million and $7.1 million, respectively. Amounts payable to investment funds are recorded in due to affiliates in the Condensed Consolidated Financial Statements. See Note 10 to the Condensed Consolidated Financial Statements.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Monitoring Fees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Monitoring fees are earned for providing oversight and advisory services to certain portfolio companies. Monitoring fees are based upon the contractual terms of the related agreements with the underlying portfolio company and are recognized as such services are provided. After the monitoring contract is established, there are no significant judgments made in determining the transaction price.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Transaction Fees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judgments when determining the transaction price.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in the scope of the revenue guidance as these fees are affected by changes in the fair value of investments over the performance period. The Company recognizes incentive fees only when these amounts are no longer subject to significant reversal, which is typically at the end of a defined performance period and/or upon expiration of the associated clawback period. After the contract is established, there are no significant judgments made when determining the transaction price.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Expense Reimbursements and Other</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 Condensed Consolidated Financial Statements. After the contract is established, there are no significant judgments made when determining the transaction price.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Allocation-Based Income (Loss)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Open-end funds can issue and redeem interests to investors on an on-going basis at the then-current net asset values subject to the fund’s policies as specified in governing documents. The Company generally receives performance allocations from its open-end funds based on a percentage of annual fund profits, reduced by minimum return hurdles, and subject to prior year loss carry-forwards. Performance allocations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 funds are paid when the associated side pocket investments are realized.</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Performance allocations for closed-end funds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on a cumulative basis and cumulative results are compared to amounts previously recorded with a current period adjustment, positive or negative, recorded.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Condensed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March 31, 2026 related to clawback, see Note 12 to the Condensed Consolidated Financial Statements. Revenue related to performance allocations for consolidated TPG funds is eliminated in consolidation.</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incentive fees and capital allocation-based income (loss) from investment funds and other vehicles whose primary focus is making investments in varying geographical locations and earns transaction and monitoring fees from portfolio companies located in varying geographies, including North America, Europe and Asia-Pacific. The primary geographic region in which the Company invests is North America and the majority of its revenues from contracts with customers is also generated in North America.</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 information, which in certain cases may lag the date of TPG’s financial statements by up to three calendar months. Income from equity method investments is recorded in net gains (losses) from investment activities on the Condensed Consolidated Financial Statements.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Investments Held for Sale and Other</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from investments held for sale and other includes unrealized gains and losses resulting from changes in the fair value of these investments during the period. Income from investments held for sale and other is recorded in net gains (losses) from investment activities on the Condensed Consolidated Financial Statements.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 for which the Fair Value Option Was Elected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Investments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from equity investments, which represent investments held through equity securities of an investee that the Company does not hold significant influence over, includes realized gains from the sale of investments and unrealized gains and losses result from observable price changes in orderly transactions for the identical or a similar investment of the same issuer. Income from equity investments is recorded in net gains (losses) from investment activities on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Dividends and Other</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is recognized as earned. Dividend income is recognized by the Company on the ex-dividend date, or in the absence of a formal declaration, on the date it is received.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Cash-based compensation and benefits includes (i) salaries and wages, (ii) benefits and (iii) discretionary cash bonuses. Bonuses are accrued over the service period to which they relate.</w:t>
      </w:r>
    </w:p>
    <w:p>
      <w:pPr>
        <w:spacing w:after="0" w:line="200" w:lineRule="exact"/>
        <w:rPr>
          <w:sz w:val="20"/>
          <w:szCs w:val="20"/>
          <w:color w:val="auto"/>
        </w:rPr>
      </w:pPr>
    </w:p>
    <w:p>
      <w:pPr>
        <w:spacing w:after="0" w:line="2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both market and service conditions is based on grant-date fair value that factors in the probability that the market conditions will be achieved and is recognized on a tranche-by-tranche basis using the accelerated attribution method. The requisite service period for those awards is the longer of the explicit service period and the derived service period. Compensation expense for awards that contain both performance and service conditions is recognized, if the Company deems it probable that the performance condition will be met, over the longer of the implicit or explicit service period. Compensation expense for awards to recipients with retirement eligibility provisions (allowing such recipient to continue vesting upon departure from TPG) is either expensed immediately or amortized to the retirement eligibility date. The Company recognizes equity-based award forfeitures in the period in which they occur as a reversal of previously recognized compensation expense.</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of Class A Common Stock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applies the treasury stock method to determine the dilutive weighted-average common shares represented by the unvested restricted stock units (“RSUs”). The Company applies the if-converted method to the TPG Operating Group partnership units to determine the dilutive impact, if any, of the exchange right included in the TPG Operating Group partnership units.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deposit with banks and other short-term investments with an initial maturity of 90 days or less. Restricted cash balances relate to cash balances reserved for the payment of interest on the Company’s privately placed securitization notes (“Secured Notes”).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financial assets and liabilities reported at fair value. The observability of inputs is impacted by a number of factors, including the type of instrument, characteristics specific to the instrument,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Financial instruments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I – Quoted prices (unadjusted) in active markets for identical financial instruments at the measurement date are used. The types of instruments generally included in Level I are publicly listed equities and debt.</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Level II – Pricing inputs are other than quoted prices included within Level I that are observable for the financial instrument, either directly or indirectly. Level II pricing inputs include quoted prices for similar financial instruments in active markets, quoted prices for identical or similar instruments in markets that are not active, inputs other than quoted prices that are observable for the instrument, and inputs that are derived principally from or corroborated by observable market data by correlation or other means. The types of instruments generally included in Level II are restricted securities listed in active markets, corporate bonds and loans.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III – Pricing inputs are unobservable and include situations where there is little, if any, market activity for the financial instrument. The inputs used in determination of fair value require significant judgment and estimation. The types of instruments generally included in Level III are privately held debt, equity securities and contingent consideration.</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instrument is categorized in its entirety is determined based on the lowest level input that is significant to the instrument. Assessing the significance of a particular input to the valuation of an instrument in its entirety requires judgment and considers factors specific to the instrument. The categorization of an instrument within the hierarchy is based upon the pricing transparency of the instrument and does not necessarily correspond to the perceived risk of that instrument.</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certain instances, an instrument that is measured and reported at fair value may be transferred into or out of Level I, II, or III of the fair value hierarchy.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certain cases, debt and equity securities are valued on the basis of prices from an orderly transaction between market participants provided by reputable dealers or pricing services. In determining the value of a particular instrument, pricing services may use certain information with respect to transactions in such instruments, quotations from dealers, pricing matrices, market transactions of comparable instruments and various relationships between instruments. When a security is valued based on dealer quotes, the Company subjects those quotes to various criteria in making the determination as to whether a particular instrument would qualify for treatment as a Level II or Level III instrument. Some of the factors considered include the number and quality of quotes, the standard deviations of the observed quotes and the corroboration of the quotes to independent pricing services.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Level III instruments may include common and preferred equity securities, corporate debt, other privately issued securities and contingent consideration.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Condensed Consolidated Financial Statements may differ materially from values that would have been used had a readily available market for the instruments existed and may differ materially from the values that may ultimately be realized. The period of time over which the underlying assets of the instruments will be liquidated is unknown.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Due From and Due To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which the purchase price of the acquisition is allocated to the assets acquired and liabilities assumed generally using the fair values determined by management as of the acquisition date.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 Examples of critical estimates in valuing certain of the intangible assets we have acquired include, but are not limited to, future expected cash inflows and outflows, future fundraising assumptions, expected useful life,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For business combinations accounted for under the acquisition method, the purchase consideration, including the fair value of certain elements of contingent consideration as of the acquisition date, in excess of the fair value of net assets acquired is recorded as goodwill.</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consideration transferred, the fair value in any non-controlling interest in the acquiree and the fair value of any previously held equity interest in the acquiree over the net of the acquisition-date values of the identifiable assets and liabilities assumed.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an assessment to determine if it is more likely than not that the fair value of the Company’s reporting unit is less than its respective carrying value. If it is determined that it is more likely than not that the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March 31, 2026, we believe it is more likely than not that the fair value of our reporting unit exceeds its carrying value.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intangible assets primarily consist of the fair value of its interests in future performance allocations from certain funds and the fair value of acquired investor relationships representing the fair value of management fees earned from existing investors in future funds. Finite-lived intangible assets are amortized over their estimated useful lives, which range from two to 13 years, and are reviewed for impairment whenever events or changes in circumstances indicate that the carrying amount of the intangible asset may not be recoverable. Amortization expense is included in depreciation and amortization expense in the Condensed Consolidated Financial Statements.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 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If the discount rate implicit to the lease is not readily determinable, incremental borrowing rates of the Company are used. The incremental borrowing rates are based on the information available including, but not limited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collateral assumptions, the term of the lease, and the economic environment in which the lease is denominated at the commencement date.</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elected the package of practical expedients provided under the guidance. The practical expedient package applies to leases commenced prior to the adoption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items such as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 asset that the lessee is reasonably certain to exercise. For such leases, the Company will not apply the recognition requirements of 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leases primarily consist of operating leases for real estate, which have remaining terms of one to 15 years. Some of those leases include options to extend for additional terms ranging from one to 10 years. The Company’s other leases, including those for office equipment, vehicles and aircraft, are not significant. Additionally, the Company’s leases do not contain restrictions or covenants that restrict the Company from incurring other financial obligations. The Company also does not provide any residual value guarantees for the leases. From time to time, the Company enters into certain sublease agreements that have terms similar to the remaining terms of the master lease agreements between TPG and the landlord. Sublease income is recorded as an offset to general, administrative and other in the accompanying Condensed Consolidated Financial Statements.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and is recorded within general, administrative and other in the accompanying Condensed Consolidated Financial Statements (see Note 11 to the Condensed Consolidated Financial Statements).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Fixed assets consist primarily of leasehold improvements, furniture, fixtures and equipment, computer hardware and software and other fixed assets which are recorded at cost, less accumulated depreciation. Leasehold improvements are amortized using the straight-line method, over the shorter of the respective estimated useful life or the lease term. Depreciation of furniture, fixtures, equipment and computer hardware and software is recorded over the estimated useful life of the asset, generally three to seven years, using the straight-line method. The Company evaluates long-lived assets for impairment whenever events or changes in circumstances indicate the carrying amount of an asset may not be recoverable. Upon the occurrence of a triggering event, management compares the estimated undiscounted cash flows associated with the long-lived asset to its carrying value to determine whether an impairment has occurred. If the undiscounted cash flows are less than the carrying value, an impairment is recorded as the difference between the fair value of the long-lived asset and its carrying value. Fair value is based on estimated discounted cash flows associated with the long-lived asset.</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the U.S. Dollar. Non-U.S. dollar denominated assets and liabilities of foreign operations are remeasured at rates of exchange as of the end of the reporting period. Non-U.S. dollar revenues and expenses of foreign operations are remeasured at average rates of exchange during the period. Gains and losses resulting from remeasurement are included in general, administrative and other in the accompanying Condensed Consolidated Statements of Operations. Foreign currency gains and losses resulting from transactions in currencies other than the functional currency are also included in general, administrative and other in the Condensed Consolidated Statements of Operations during the period the transaction occurred.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subsidiary, has financed the purchase of certain investments in the debt tranches of certain CLO funds through a repurchase agreement. The Company records these investments as an asset and the related borrowings under the repurchase agreements are recorded as a liability on the Condensed Consolidated Statements of Financial Condition. The amount borrowed is the amount equal to the debt investment outstanding in the CLO. Interest income earned and interest expense incurred on the repurchase obligation are reported on the Condensed Consolidated Statements of Operations. Accrued interest receivable on investments is included in other assets and accrued interest payable on repurchase agreements is included in accounts payable and accrued expenses on the Condensed Consolidated Statements of Financial Condition.</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Securities sold under agreements to repurchase are accounted for as collateralized financing transactions. The Company provides securities to counterparties to collateralize amounts borrowed under repurchase agreements on terms that permit the counterparties to repledge or resell the securities to others. Securities transferred to counterparties under repurchase agreements are included within investments in the Condensed Consolidated Statements of Financial Condition. Cash received under a repurchase agreement is recognized as a liability within other liabilities in the Condensed Consolidated Statements of Financial Condition. Interest expense is recognized on an effective yield basis and is included within interest expense in the Condensed Consolidated Statements of Operations.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United States (federal, state and local) and foreign jurisdictions as a result of their entity classification for tax reporting purposes. The provision for income taxes in the historical Condensed Consolidated Financial Statements consists of U.S. (federal, state and local) and foreign income taxes with respect to certain consolidated subsidiaries.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w:t>
      </w:r>
    </w:p>
    <w:p>
      <w:pPr>
        <w:spacing w:after="0" w:line="1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provides a variety of fee-based asset management services to the TPG funds, limited partners, SMAs and clients, and other vehicles, primarily in North America. The Company is also entitled to performance allocations from the TPG funds when the Company has a general partner interest. The Company operates its business as a single operating and reportable segment, as the Company’s chief operating decision maker (the “CODM”), its Chief Executive Officer (“CEO”), manages the business on a consolidated basis. The segment expenses regularly provided to the CODM are the same as those shown on the Company’s Condensed Consolidated Statement of Operations. The Company operates collaboratively across product lines through shared investment themes and relies on shared support functions that span across product lines. The CODM uses consolidated net income as one of the primary measures to make resource allocation decisions and assess the performance of the Company across reporting periods. There is no difference between segment assets and total consolidated assets. As the Company operates as a single segment, the accounting policies utilized by the segment are consistent with those included in the Condensed Consolidated Financial Statements herein.</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Financial Accounting Standards Board (“FASB”) issued ASU 2025-04, </w:t>
      </w:r>
      <w:r>
        <w:rPr>
          <w:rFonts w:ascii="Times New Roman" w:cs="Times New Roman" w:eastAsia="Times New Roman" w:hAnsi="Times New Roman"/>
          <w:sz w:val="18"/>
          <w:szCs w:val="18"/>
          <w:i w:val="1"/>
          <w:iCs w:val="1"/>
          <w:color w:val="auto"/>
        </w:rPr>
        <w:t>Compensation—Stock Compensation (Topic 718)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 (Topic 606)—Clarifications to Share-Based Consideration Payable to a Customer</w:t>
      </w:r>
      <w:r>
        <w:rPr>
          <w:rFonts w:ascii="Times New Roman" w:cs="Times New Roman" w:eastAsia="Times New Roman" w:hAnsi="Times New Roman"/>
          <w:sz w:val="18"/>
          <w:szCs w:val="18"/>
          <w:color w:val="auto"/>
        </w:rPr>
        <w:t>, which requires that a grantor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the guidance in Topic 718, Compensation—Stock Compensation, to measure and classify share-based consideration payable to a customer. The amended guidance also requires a reporting entity to assess if share-based consideration payable to a customer contains vesting conditions, including whether or not those vesting conditions represent service conditions or performance conditions. The Company early adopted ASU 2025-04 on January 1, 2026 on a retrospective basis and adoption of the ASU did not have a material impact on the Condensed Consolidated Financial Statements.</w:t>
      </w:r>
    </w:p>
    <w:p>
      <w:pPr>
        <w:spacing w:after="0" w:line="18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is designed to modernize the accounting for software costs for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2025-06 removes all references to prescriptive and sequential software development stages (referred to as “project stages”), and now states that a reporting entity should begin capitalizing costs once management has authorized and committed funding to the project, determined it is probable that the project will be completed and determined the software will be used to perform the function intended. The Company early adopted the ASU on a prospective basis on January 1, 2026 and the adoption did not result in a material impact on the Condensed Consolidated Financial Statements.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ASU 2024-03 aims to enhance transparency for users of financial statements by requiring public business entities to provide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 commonly presented expense captions. In particular, ASU 2024-03 contains new required tabular disclosures related to the amounts of specified natural expenses (e.g., employee compensation, depreciation, intangible asset amortization) disclosed in a particular expense caption. Additionally, ASU 2024-03 clarifies that certain other expenses and gains or losses that must be disclosed under existing U.S. GAAP recorded in a relevant expense caption must also be presented in the same tabular disclosure. Lastly, ASU 2024-03 requires separate disclosure of selling expenses. ASU 2024-03 is effective for the Company beginning after December 15, 2026, with early adoption permitted. The Company is currently evaluating the impact of adoption of ASU 2024-03 on its Condensed Consolidated Financial Statements and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Peppertree Acquisition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July 1, 2025 (the “Peppertree Acquisition Date”), the Company and certain of its affiliated entities completed the acquisition (the “Peppertree Acquisition”) of the business of Peppertree Capital Management, Inc. (“Peppertree”) pursuant to the terms and conditions set forth in the transaction agreement (the “Peppertree Transaction Agreement”), as amended May 28, 2025, with Peppertree and certain affiliated entities and equity holders thereof (together with Peppertree, the “Peppertree Parties”), a specialized digital infrastructure investment firm with a focus on wireless communications towers. As a result of the Peppertree Acquisition, the Company expanded its platform diversity, with Peppertree’s alternative investment focus in wireless communications towers and related critical communication infrastructure assets.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accounted for the Peppertree Acquisition as a business combination under ASC 805, with assets acquired and liabilities assumed recorded at fair value as of July 1, 2025, subject to adjustments for provisional amounts through the measurement period, which is limited to one year from the Peppertree Acquisition Date.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Peppertree Transaction Agreement, the Company acquired Peppertree for both cash and non-cash consideration under U.S. GAAP equal to $389.6 million (“Peppertree Purchase Price”) as described below. The following table summarizes the fair value of amounts recognized for the assets acquired and liabilities assumed and resulting goodwill as of the Peppertree Acquisition Date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6"/>
                <w:szCs w:val="16"/>
                <w:b w:val="1"/>
                <w:bCs w:val="1"/>
                <w:color w:val="auto"/>
              </w:rPr>
              <w:t>July 1, 2025</w:t>
            </w:r>
          </w:p>
        </w:tc>
      </w:tr>
      <w:tr>
        <w:trPr>
          <w:trHeight w:val="24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6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r>
      <w:tr>
        <w:trPr>
          <w:trHeight w:val="256"/>
        </w:trPr>
        <w:tc>
          <w:tcPr>
            <w:tcW w:w="818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(a)</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235,659</w:t>
            </w:r>
          </w:p>
        </w:tc>
      </w:tr>
      <w:tr>
        <w:trPr>
          <w:trHeight w:val="257"/>
        </w:trPr>
        <w:tc>
          <w:tcPr>
            <w:tcW w:w="8180" w:type="dxa"/>
            <w:vAlign w:val="bottom"/>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Nonvoting Class A common stock</w:t>
            </w:r>
            <w:r>
              <w:rPr>
                <w:rFonts w:ascii="Times New Roman" w:cs="Times New Roman" w:eastAsia="Times New Roman" w:hAnsi="Times New Roman"/>
                <w:sz w:val="23"/>
                <w:szCs w:val="23"/>
                <w:color w:val="auto"/>
                <w:vertAlign w:val="superscript"/>
              </w:rPr>
              <w:t>(b)</w:t>
            </w:r>
          </w:p>
        </w:tc>
        <w:tc>
          <w:tcPr>
            <w:tcW w:w="60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153,973</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389,632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6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3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affiliates</w:t>
            </w:r>
          </w:p>
        </w:tc>
        <w:tc>
          <w:tcPr>
            <w:tcW w:w="6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
        </w:trPr>
        <w:tc>
          <w:tcPr>
            <w:tcW w:w="8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561,945</w:t>
            </w: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6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2"/>
        </w:trPr>
        <w:tc>
          <w:tcPr>
            <w:tcW w:w="8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6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248,900</w:t>
            </w: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817,362</w:t>
            </w: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0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23,006</w:t>
            </w: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600" w:type="dxa"/>
            <w:vAlign w:val="bottom"/>
            <w:shd w:val="clear" w:color="auto" w:fill="CCEEFF"/>
          </w:tcPr>
          <w:p>
            <w:pPr>
              <w:spacing w:after="0"/>
              <w:rPr>
                <w:sz w:val="22"/>
                <w:szCs w:val="22"/>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403,052</w:t>
            </w: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00" w:type="dxa"/>
            <w:vAlign w:val="bottom"/>
          </w:tcPr>
          <w:p>
            <w:pPr>
              <w:spacing w:after="0"/>
              <w:rPr>
                <w:sz w:val="22"/>
                <w:szCs w:val="22"/>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r>
      <w:tr>
        <w:trPr>
          <w:trHeight w:val="228"/>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432,090</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acquired/liabilities assumed</w:t>
            </w:r>
          </w:p>
        </w:tc>
        <w:tc>
          <w:tcPr>
            <w:tcW w:w="600" w:type="dxa"/>
            <w:vAlign w:val="bottom"/>
            <w:shd w:val="clear" w:color="auto" w:fill="CCEEFF"/>
          </w:tcPr>
          <w:p>
            <w:pPr>
              <w:spacing w:after="0"/>
              <w:rPr>
                <w:sz w:val="20"/>
                <w:szCs w:val="20"/>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385,272</w:t>
            </w:r>
          </w:p>
        </w:tc>
      </w:tr>
      <w:tr>
        <w:trPr>
          <w:trHeight w:val="162"/>
        </w:trPr>
        <w:tc>
          <w:tcPr>
            <w:tcW w:w="8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600" w:type="dxa"/>
            <w:vAlign w:val="bottom"/>
            <w:shd w:val="clear" w:color="auto" w:fill="CCEEFF"/>
          </w:tcPr>
          <w:p>
            <w:pPr>
              <w:spacing w:after="0"/>
              <w:rPr>
                <w:sz w:val="22"/>
                <w:szCs w:val="22"/>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389,632</w:t>
            </w: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of Peppertree</w:t>
            </w:r>
          </w:p>
        </w:tc>
        <w:tc>
          <w:tcPr>
            <w:tcW w:w="6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57,749</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consideration includes $2.5 million held in escrow on behalf of the sellers.</w:t>
      </w:r>
    </w:p>
    <w:p>
      <w:pPr>
        <w:spacing w:after="0" w:line="55" w:lineRule="exact"/>
        <w:rPr>
          <w:rFonts w:ascii="Times New Roman" w:cs="Times New Roman" w:eastAsia="Times New Roman" w:hAnsi="Times New Roman"/>
          <w:sz w:val="14"/>
          <w:szCs w:val="14"/>
          <w:color w:val="auto"/>
        </w:rPr>
      </w:pPr>
    </w:p>
    <w:p>
      <w:pPr>
        <w:ind w:left="500" w:hanging="492"/>
        <w:spacing w:after="0" w:line="302" w:lineRule="auto"/>
        <w:tabs>
          <w:tab w:leader="none" w:pos="4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approximately 2.9 million shares of nonvoting Class A common stock issued to certain Peppertree Parties upon consummation of the Peppertree Acquisition. The fair value of the shares of nonvoting Class A common stock was based on a $52.84 closing price for the shares of Class A common stock on the Peppertree Acquisition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the terms of the Peppertree Transaction Agreement, the Company granted 5.4 million Common Units of TPG Operating Group (including an equal number of shares of Class B common stock of the Company) and 0.3 million restricted stock units of the Company to certain Peppertree Parties, which are deemed to be compensatory under U.S. GAAP and are not part of the Purchase Price. Additionally, certain Peppertree Parties will be entitled to an earnout payment of up to $300.0 million (the “Peppertree Earnout Payment”) upon the satisfaction of certain fee-related revenue and fundraising targets by Peppertree, payable, at the Company’s election and subject to certain limitations set forth in the Peppertree Transaction Agreement, in cash, Common Units (including an equal number of shares of Class B common stock) or a combination thereof. The Peppertree Earnout Payment is treated as post-combination compensation expense, as services are required from such Peppertree Parties post-closing. See Note 14 to the Condensed Consolidated Financial Statements for details.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total Purchase Price was allocated to the fair value of assets acquired and liabilities assumed as of the Peppertree Acquisition Date, with the excess Purchase Price recorded as goodwill. A third-party valuation specialist assisted the Company with the fair value estimates for the assets acquired and liabilities assumed. The Company recorded $62.1 million of goodwill as of the Peppertree Acquisition Date. Goodwill is primarily attributable to the scale, skill sets, operations and expected synergies that can be achieved subsequent to the Acquisition. The goodwill recorded is not deductible for tax purposes.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and weighted average estimated useful lives of the acquired identifiable intangible assets as of the Peppertree Acquisition Date consist of the following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Valuation Methodology</w:t>
            </w:r>
          </w:p>
        </w:tc>
        <w:tc>
          <w:tcPr>
            <w:tcW w:w="204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Estimated Average Useful</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20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0" w:type="dxa"/>
            <w:vAlign w:val="bottom"/>
          </w:tcPr>
          <w:p>
            <w:pPr>
              <w:spacing w:after="0"/>
              <w:rPr>
                <w:sz w:val="1"/>
                <w:szCs w:val="1"/>
                <w:color w:val="auto"/>
              </w:rPr>
            </w:pPr>
          </w:p>
        </w:tc>
      </w:tr>
      <w:tr>
        <w:trPr>
          <w:trHeight w:val="171"/>
        </w:trPr>
        <w:tc>
          <w:tcPr>
            <w:tcW w:w="40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9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Multi-period excess earnings method</w:t>
            </w:r>
          </w:p>
        </w:tc>
        <w:tc>
          <w:tcPr>
            <w:tcW w:w="8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181,700</w:t>
            </w:r>
          </w:p>
        </w:tc>
        <w:tc>
          <w:tcPr>
            <w:tcW w:w="100" w:type="dxa"/>
            <w:vAlign w:val="bottom"/>
            <w:shd w:val="clear" w:color="auto" w:fill="CCEEFF"/>
          </w:tcPr>
          <w:p>
            <w:pPr>
              <w:spacing w:after="0"/>
              <w:rPr>
                <w:sz w:val="21"/>
                <w:szCs w:val="21"/>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("MPEEM")</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performance fee allocations</w:t>
            </w: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10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Discounted cash flow analysis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Relief from royalty method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intangible assets acquired</w:t>
            </w: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248,900</w:t>
            </w: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recognized $8.9 million in acquisition-related costs during the three months ended March 31, 2025. These costs are included within general, administrative and other expenses in the Condensed Consolidated Statements of Operations.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presents a summary of the Company’s Condensed Consolidated Statements of Operations for the three months ended March 31, 2025, as if the acquisition was completed as of January 1,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r>
      <w:tr>
        <w:trPr>
          <w:trHeight w:val="22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1,075,877</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TPG Inc./controlling interest</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21,951</w:t>
            </w:r>
          </w:p>
        </w:tc>
      </w:tr>
      <w:tr>
        <w:trPr>
          <w:trHeight w:val="886"/>
        </w:trPr>
        <w:tc>
          <w:tcPr>
            <w:tcW w:w="5000" w:type="dxa"/>
            <w:vAlign w:val="bottom"/>
          </w:tcPr>
          <w:p>
            <w:pPr>
              <w:spacing w:after="0"/>
              <w:rPr>
                <w:sz w:val="24"/>
                <w:szCs w:val="24"/>
                <w:color w:val="auto"/>
              </w:rPr>
            </w:pPr>
          </w:p>
        </w:tc>
        <w:tc>
          <w:tcPr>
            <w:tcW w:w="31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These pro forma amounts have been calculated after applying the following material adjustments that were directly attributable to the Peppertree Acquisition:</w:t>
      </w:r>
    </w:p>
    <w:p>
      <w:pPr>
        <w:spacing w:after="0" w:line="162" w:lineRule="exact"/>
        <w:rPr>
          <w:sz w:val="20"/>
          <w:szCs w:val="20"/>
          <w:color w:val="auto"/>
        </w:rPr>
      </w:pPr>
    </w:p>
    <w:p>
      <w:pPr>
        <w:ind w:left="980" w:right="600" w:hanging="486"/>
        <w:spacing w:after="0" w:line="281" w:lineRule="auto"/>
        <w:tabs>
          <w:tab w:leader="none" w:pos="975" w:val="left"/>
        </w:tabs>
        <w:numPr>
          <w:ilvl w:val="1"/>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adjustments to include the impact of the additional amortization that would have been recorded assuming the fair value adjustments to intangible assets had been applied on January 1, 2024;</w:t>
      </w:r>
    </w:p>
    <w:p>
      <w:pPr>
        <w:spacing w:after="0" w:line="162" w:lineRule="exact"/>
        <w:rPr>
          <w:rFonts w:ascii="Arial" w:cs="Arial" w:eastAsia="Arial" w:hAnsi="Arial"/>
          <w:sz w:val="18"/>
          <w:szCs w:val="18"/>
          <w:color w:val="auto"/>
        </w:rPr>
      </w:pPr>
    </w:p>
    <w:p>
      <w:pPr>
        <w:ind w:left="980" w:right="40" w:hanging="486"/>
        <w:spacing w:after="0" w:line="282"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include additional equity-based compensation expense related to Common Units and restricted stock units issued to Peppertree Parties, as if the grants occurred on January 1, 2024;</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changes in the performance allocation compensation to Peppertree Parties in connection with the Peppertree Acquisition;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include transaction costs in net income as if the Peppertree Acquisition occurred on January 1, 2024.</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95" w:lineRule="exact"/>
        <w:rPr>
          <w:sz w:val="20"/>
          <w:szCs w:val="20"/>
          <w:color w:val="auto"/>
        </w:rPr>
      </w:pPr>
    </w:p>
    <w:p>
      <w:pPr>
        <w:ind w:left="7540"/>
        <w:spacing w:after="0"/>
        <w:tabs>
          <w:tab w:leader="none" w:pos="9540" w:val="left"/>
        </w:tabs>
        <w:rPr>
          <w:sz w:val="20"/>
          <w:szCs w:val="20"/>
          <w:color w:val="auto"/>
        </w:rPr>
      </w:pPr>
      <w:r>
        <w:rPr>
          <w:rFonts w:ascii="Times New Roman" w:cs="Times New Roman" w:eastAsia="Times New Roman" w:hAnsi="Times New Roman"/>
          <w:sz w:val="16"/>
          <w:szCs w:val="16"/>
          <w:b w:val="1"/>
          <w:bCs w:val="1"/>
          <w:color w:val="auto"/>
        </w:rPr>
        <w:t>March 31, 2026</w:t>
      </w:r>
      <w:r>
        <w:rPr>
          <w:sz w:val="20"/>
          <w:szCs w:val="20"/>
          <w:color w:val="auto"/>
        </w:rPr>
        <w:tab/>
      </w:r>
      <w:r>
        <w:rPr>
          <w:rFonts w:ascii="Times New Roman" w:cs="Times New Roman" w:eastAsia="Times New Roman" w:hAnsi="Times New Roman"/>
          <w:sz w:val="16"/>
          <w:szCs w:val="16"/>
          <w:b w:val="1"/>
          <w:bCs w:val="1"/>
          <w:color w:val="auto"/>
        </w:rPr>
        <w:t>December 31, 2025</w:t>
      </w:r>
    </w:p>
    <w:p>
      <w:pPr>
        <w:sectPr>
          <w:pgSz w:w="11900" w:h="16838" w:orient="portrait"/>
          <w:cols w:equalWidth="0" w:num="1">
            <w:col w:w="11240"/>
          </w:cols>
          <w:pgMar w:left="320" w:top="121" w:right="339" w:bottom="1440" w:gutter="0" w:footer="0" w:header="0"/>
        </w:sectPr>
      </w:pPr>
    </w:p>
    <w:p>
      <w:pPr>
        <w:spacing w:after="0" w:line="30" w:lineRule="exact"/>
        <w:rPr>
          <w:sz w:val="20"/>
          <w:szCs w:val="20"/>
          <w:color w:val="auto"/>
        </w:rPr>
      </w:pPr>
    </w:p>
    <w:p>
      <w:pPr>
        <w:ind w:left="20"/>
        <w:spacing w:after="0"/>
        <w:tabs>
          <w:tab w:leader="none" w:pos="7040" w:val="left"/>
        </w:tabs>
        <w:rPr>
          <w:sz w:val="20"/>
          <w:szCs w:val="20"/>
          <w:color w:val="auto"/>
        </w:rPr>
      </w:pPr>
      <w:r>
        <w:rPr>
          <w:rFonts w:ascii="Times New Roman" w:cs="Times New Roman" w:eastAsia="Times New Roman" w:hAnsi="Times New Roman"/>
          <w:sz w:val="18"/>
          <w:szCs w:val="18"/>
          <w:color w:val="auto"/>
        </w:rPr>
        <w:t>Equity method - performance allocations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method - capital interests (includes assets pledged of $496,120 and $521,124 as of</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held to maturity, at amortized cost (includes assets pledged of $80,331 and $82,198</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March 31, 2026 and December 31, 2025, respectively)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method -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7040" w:val="left"/>
        </w:tabs>
        <w:rPr>
          <w:sz w:val="20"/>
          <w:szCs w:val="20"/>
          <w:color w:val="auto"/>
        </w:rPr>
      </w:pPr>
      <w:r>
        <w:rPr>
          <w:rFonts w:ascii="Times New Roman" w:cs="Times New Roman" w:eastAsia="Times New Roman" w:hAnsi="Times New Roman"/>
          <w:sz w:val="18"/>
          <w:szCs w:val="18"/>
          <w:b w:val="1"/>
          <w:bCs w:val="1"/>
          <w:color w:val="auto"/>
        </w:rPr>
        <w:t>Total investments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6,845,509</w:t>
            </w: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7,309,239</w:t>
            </w:r>
          </w:p>
        </w:tc>
      </w:tr>
      <w:tr>
        <w:trPr>
          <w:trHeight w:val="476"/>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1,352,383</w:t>
            </w:r>
          </w:p>
        </w:tc>
        <w:tc>
          <w:tcPr>
            <w:tcW w:w="7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1,801,436</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748,528</w:t>
            </w:r>
          </w:p>
        </w:tc>
        <w:tc>
          <w:tcPr>
            <w:tcW w:w="7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1"/>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85,687</w:t>
            </w:r>
          </w:p>
        </w:tc>
        <w:tc>
          <w:tcPr>
            <w:tcW w:w="7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88,480</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17,348</w:t>
            </w: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w:t>
            </w:r>
          </w:p>
        </w:tc>
      </w:tr>
      <w:tr>
        <w:trPr>
          <w:trHeight w:val="223"/>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9,049,455</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9,211,816</w:t>
            </w:r>
          </w:p>
        </w:tc>
      </w:tr>
      <w:tr>
        <w:trPr>
          <w:trHeight w:val="21"/>
        </w:trPr>
        <w:tc>
          <w:tcPr>
            <w:tcW w:w="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-33655</wp:posOffset>
            </wp:positionV>
            <wp:extent cx="13030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020" cy="889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-7620</wp:posOffset>
            </wp:positionV>
            <wp:extent cx="13030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-187960</wp:posOffset>
            </wp:positionV>
            <wp:extent cx="13030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80" w:space="720"/>
            <w:col w:w="2940"/>
          </w:cols>
          <w:pgMar w:left="320" w:top="121" w:right="339" w:bottom="1440" w:gutter="0" w:footer="0" w:header="0"/>
          <w:type w:val="continuous"/>
        </w:sectPr>
      </w:pPr>
    </w:p>
    <w:p>
      <w:pPr>
        <w:spacing w:after="0" w:line="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gains (losses) from performance allocations and capital interests are disclosed in the Revenue section of Note 2 to the Condensed Consolidated Financial Statements. The following table summarizes net gains (losses) from investment activities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of equity method investments - other</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(losses) gains from equity investments</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of investments held for sale and other</w:t>
            </w:r>
          </w:p>
        </w:tc>
        <w:tc>
          <w:tcPr>
            <w:tcW w:w="1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losses from investment activities</w:t>
            </w:r>
          </w:p>
        </w:tc>
        <w:tc>
          <w:tcPr>
            <w:tcW w:w="1340" w:type="dxa"/>
            <w:vAlign w:val="bottom"/>
            <w:tcBorders>
              <w:top w:val="single" w:sz="8" w:color="auto"/>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0"/>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to Maturity, at Amortized Cost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Angelo Gordon, the Company acquired investments held to maturity, and the carrying value of these investments are included in investments on the Condensed Consolidated Statements of Financial Condition. The Company estimates an allowance for credit losses (“ACL”) on the investments classified as held to maturity securities. The fair value of investments held to maturity, excluding any reserves for</w:t>
      </w:r>
    </w:p>
    <w:p>
      <w:pPr>
        <w:spacing w:after="0"/>
        <w:rPr>
          <w:sz w:val="20"/>
          <w:szCs w:val="20"/>
          <w:color w:val="auto"/>
        </w:rPr>
      </w:pPr>
      <w:r>
        <w:rPr>
          <w:rFonts w:ascii="Times New Roman" w:cs="Times New Roman" w:eastAsia="Times New Roman" w:hAnsi="Times New Roman"/>
          <w:sz w:val="18"/>
          <w:szCs w:val="18"/>
          <w:color w:val="auto"/>
        </w:rPr>
        <w:t>credit losses, was $87.2 million and $90.0 million at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evaluates its equity method investments in which it has not elected the fair value option for impairment whenever events or changes in circumstances indicate that the carrying amounts of such investments may not be recoverable. During the three months ended March 31, 2026 and 2025, the Company did not recognize any impairment losses on an equity method investment without a readily determinable fair value.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11, 2026, the Company entered into a long-term, strategic investment management partnership (the “Jackson Transaction”) with Jackson Financial Inc. (“Jackson”) whereby the Company will serve as an investment manager for select general account assets of subsidiaries of Jackson. In connection with the Transaction, the TPG Operating Group purchased 4,715,554 shares of common stock. The fair value of the shares purchased are included in Investments on the Condensed Consolidated Statements of Financial Condition and, as the shares purchased have a readily determinable fair value, changes in fair value are recorded within net gains (losses) from investment activities in the Company’s Condensed Consolidated Statements of Operations each reporting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valuation of the Company’s assets and liabilities that fall within the fair value hierarchy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investments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498,528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748,528</w:t>
            </w:r>
          </w:p>
        </w:tc>
      </w:tr>
      <w:tr>
        <w:trPr>
          <w:trHeight w:val="248"/>
        </w:trPr>
        <w:tc>
          <w:tcPr>
            <w:tcW w:w="5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Annual Cash Holdback Amount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72,450</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w:t>
            </w: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88,092</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71"/>
        </w:trPr>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1"/>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Annual Cash Holdback Amount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70,875</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84,602</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the fair value of financial instruments for which the Company has used Level III inputs to determine fair value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121,995</w:t>
            </w:r>
          </w:p>
        </w:tc>
      </w:tr>
      <w:tr>
        <w:trPr>
          <w:trHeight w:val="230"/>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252,988</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55,137</w:t>
            </w:r>
          </w:p>
        </w:tc>
      </w:tr>
      <w:tr>
        <w:trPr>
          <w:trHeight w:val="229"/>
        </w:trPr>
        <w:tc>
          <w:tcPr>
            <w:tcW w:w="7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Change in unrealized value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48"/>
        </w:trPr>
        <w:tc>
          <w:tcPr>
            <w:tcW w:w="7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179,263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84,602</w:t>
            </w:r>
          </w:p>
        </w:tc>
        <w:tc>
          <w:tcPr>
            <w:tcW w:w="80" w:type="dxa"/>
            <w:vAlign w:val="bottom"/>
          </w:tcPr>
          <w:p>
            <w:pPr>
              <w:spacing w:after="0"/>
              <w:rPr>
                <w:sz w:val="19"/>
                <w:szCs w:val="19"/>
                <w:color w:val="auto"/>
              </w:rPr>
            </w:pPr>
          </w:p>
        </w:tc>
        <w:tc>
          <w:tcPr>
            <w:tcW w:w="13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140,760</w:t>
            </w:r>
          </w:p>
        </w:tc>
      </w:tr>
      <w:tr>
        <w:trPr>
          <w:trHeight w:val="229"/>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unrealized value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30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realized and unrealized gains and losses recorded for Level III assets carried at fair value are reported in net gains (losses) from investment activities in the Condensed Consolidated Statements of Operations. Total realized and unrealized gains and losses recorded for Level III liabilities carried at fair value are reported in interest, dividends and other in the Condensed Consolidated Statements of Operations.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tables provide qualitative information about instruments categorized in Level III of the fair value hierarchy as of March 31, 2026 and December 31, 2025. In addition to the techniques and inputs noted in the table below, in accordance with the valuation policy, other valuation techniques and methodologies are used when determining fair value measurements. The below table is not intended to be all-inclusive, but rather provides information on the significant Level III inputs as they relate to the Company’s fair value measurements (fair value measurements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investments</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p>
      <w:pPr>
        <w:spacing w:after="0" w:line="31" w:lineRule="exact"/>
        <w:rPr>
          <w:sz w:val="20"/>
          <w:szCs w:val="20"/>
          <w:color w:val="auto"/>
        </w:rPr>
      </w:pPr>
    </w:p>
    <w:p>
      <w:pPr>
        <w:ind w:left="240"/>
        <w:spacing w:after="0" w:line="234" w:lineRule="auto"/>
        <w:rPr>
          <w:sz w:val="20"/>
          <w:szCs w:val="20"/>
          <w:color w:val="auto"/>
        </w:rPr>
      </w:pPr>
      <w:r>
        <w:rPr>
          <w:rFonts w:ascii="Times New Roman" w:cs="Times New Roman" w:eastAsia="Times New Roman" w:hAnsi="Times New Roman"/>
          <w:sz w:val="18"/>
          <w:szCs w:val="18"/>
          <w:color w:val="auto"/>
        </w:rPr>
        <w:t>Aggregate Annual Cash Holdback Amount</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Earnout Payment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Fair Value as of March</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Valuation Technique(s)</w:t>
            </w:r>
          </w:p>
        </w:tc>
        <w:tc>
          <w:tcPr>
            <w:tcW w:w="80" w:type="dxa"/>
            <w:vAlign w:val="bottom"/>
            <w:vMerge w:val="restart"/>
          </w:tcPr>
          <w:p>
            <w:pPr>
              <w:spacing w:after="0"/>
              <w:rPr>
                <w:sz w:val="16"/>
                <w:szCs w:val="16"/>
                <w:color w:val="auto"/>
              </w:rPr>
            </w:pPr>
          </w:p>
        </w:tc>
        <w:tc>
          <w:tcPr>
            <w:tcW w:w="20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Unobservable Input(s)</w:t>
            </w:r>
            <w:r>
              <w:rPr>
                <w:rFonts w:ascii="Times New Roman" w:cs="Times New Roman" w:eastAsia="Times New Roman" w:hAnsi="Times New Roman"/>
                <w:sz w:val="21"/>
                <w:szCs w:val="21"/>
                <w:b w:val="1"/>
                <w:bCs w:val="1"/>
                <w:color w:val="auto"/>
                <w:vertAlign w:val="superscript"/>
              </w:rPr>
              <w:t>(a)</w:t>
            </w:r>
          </w:p>
        </w:tc>
        <w:tc>
          <w:tcPr>
            <w:tcW w:w="100" w:type="dxa"/>
            <w:vAlign w:val="bottom"/>
            <w:vMerge w:val="restart"/>
          </w:tcPr>
          <w:p>
            <w:pPr>
              <w:spacing w:after="0"/>
              <w:rPr>
                <w:sz w:val="16"/>
                <w:szCs w:val="16"/>
                <w:color w:val="auto"/>
              </w:rPr>
            </w:pP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Range (Weighted Average)</w:t>
            </w:r>
            <w:r>
              <w:rPr>
                <w:rFonts w:ascii="Times New Roman" w:cs="Times New Roman" w:eastAsia="Times New Roman" w:hAnsi="Times New Roman"/>
                <w:sz w:val="21"/>
                <w:szCs w:val="21"/>
                <w:b w:val="1"/>
                <w:bCs w:val="1"/>
                <w:color w:val="auto"/>
                <w:w w:val="98"/>
                <w:vertAlign w:val="superscript"/>
              </w:rPr>
              <w:t>(b)</w:t>
            </w:r>
          </w:p>
        </w:tc>
        <w:tc>
          <w:tcPr>
            <w:tcW w:w="0" w:type="dxa"/>
            <w:vAlign w:val="bottom"/>
          </w:tcPr>
          <w:p>
            <w:pPr>
              <w:spacing w:after="0"/>
              <w:rPr>
                <w:sz w:val="1"/>
                <w:szCs w:val="1"/>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31, 2026</w:t>
            </w:r>
          </w:p>
        </w:tc>
        <w:tc>
          <w:tcPr>
            <w:tcW w:w="80" w:type="dxa"/>
            <w:vAlign w:val="bottom"/>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4"/>
                <w:szCs w:val="24"/>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Last transaction price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2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-290830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100" w:hanging="1084"/>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197485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43180</wp:posOffset>
            </wp:positionV>
            <wp:extent cx="11144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72,450</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Present value</w:t>
            </w:r>
          </w:p>
        </w:tc>
        <w:tc>
          <w:tcPr>
            <w:tcW w:w="2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15,642</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Multiple probability</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Estimated revenue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1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simulation</w:t>
            </w:r>
          </w:p>
        </w:tc>
        <w:tc>
          <w:tcPr>
            <w:tcW w:w="23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volatility</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-259715</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80" w:hanging="1164"/>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1144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43180</wp:posOffset>
            </wp:positionV>
            <wp:extent cx="11144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2720" w:space="300"/>
            <w:col w:w="8220"/>
          </w:cols>
          <w:pgMar w:left="320" w:top="121" w:right="339" w:bottom="1440" w:gutter="0" w:footer="0" w:header="0"/>
          <w:type w:val="continuous"/>
        </w:sectPr>
      </w:pPr>
    </w:p>
    <w:p>
      <w:pPr>
        <w:jc w:val="both"/>
        <w:ind w:left="500" w:hanging="492"/>
        <w:spacing w:after="0" w:line="281" w:lineRule="auto"/>
        <w:tabs>
          <w:tab w:leader="none" w:pos="4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1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weighted based on fair value of instruments in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80" w:type="dxa"/>
            <w:vAlign w:val="bottom"/>
          </w:tcPr>
          <w:p>
            <w:pPr>
              <w:spacing w:after="0"/>
              <w:rPr>
                <w:sz w:val="16"/>
                <w:szCs w:val="16"/>
                <w:color w:val="auto"/>
              </w:rPr>
            </w:pP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Valuation Technique(s)</w:t>
            </w:r>
          </w:p>
        </w:tc>
        <w:tc>
          <w:tcPr>
            <w:tcW w:w="2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r>
              <w:rPr>
                <w:rFonts w:ascii="Times New Roman" w:cs="Times New Roman" w:eastAsia="Times New Roman" w:hAnsi="Times New Roman"/>
                <w:sz w:val="21"/>
                <w:szCs w:val="21"/>
                <w:b w:val="1"/>
                <w:bCs w:val="1"/>
                <w:color w:val="auto"/>
                <w:w w:val="98"/>
                <w:vertAlign w:val="superscript"/>
              </w:rPr>
              <w:t>(a)</w:t>
            </w: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Range (Weighted Average)</w:t>
            </w:r>
            <w:r>
              <w:rPr>
                <w:rFonts w:ascii="Times New Roman" w:cs="Times New Roman" w:eastAsia="Times New Roman" w:hAnsi="Times New Roman"/>
                <w:sz w:val="21"/>
                <w:szCs w:val="21"/>
                <w:b w:val="1"/>
                <w:bCs w:val="1"/>
                <w:color w:val="auto"/>
                <w:w w:val="98"/>
                <w:vertAlign w:val="superscript"/>
              </w:rPr>
              <w:t>(b)</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Aggregate Annual Cash Holdback</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80" w:type="dxa"/>
            <w:vAlign w:val="bottom"/>
          </w:tcPr>
          <w:p>
            <w:pPr>
              <w:spacing w:after="0"/>
              <w:rPr>
                <w:sz w:val="15"/>
                <w:szCs w:val="15"/>
                <w:color w:val="auto"/>
              </w:rPr>
            </w:pP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Present value</w:t>
            </w:r>
          </w:p>
        </w:tc>
        <w:tc>
          <w:tcPr>
            <w:tcW w:w="21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Discount rate</w:t>
            </w:r>
          </w:p>
        </w:tc>
        <w:tc>
          <w:tcPr>
            <w:tcW w:w="2020" w:type="dxa"/>
            <w:vAlign w:val="bottom"/>
            <w:vMerge w:val="restart"/>
          </w:tcPr>
          <w:p>
            <w:pPr>
              <w:jc w:val="right"/>
              <w:ind w:right="733"/>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48"/>
        </w:trPr>
        <w:tc>
          <w:tcPr>
            <w:tcW w:w="30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jc w:val="center"/>
              <w:ind w:right="80"/>
              <w:spacing w:after="0" w:line="180" w:lineRule="exact"/>
              <w:rPr>
                <w:sz w:val="20"/>
                <w:szCs w:val="20"/>
                <w:color w:val="auto"/>
              </w:rPr>
            </w:pPr>
            <w:r>
              <w:rPr>
                <w:rFonts w:ascii="Times New Roman" w:cs="Times New Roman" w:eastAsia="Times New Roman" w:hAnsi="Times New Roman"/>
                <w:sz w:val="18"/>
                <w:szCs w:val="18"/>
                <w:color w:val="auto"/>
                <w:w w:val="98"/>
              </w:rPr>
              <w:t>Multiple probability</w:t>
            </w:r>
          </w:p>
        </w:tc>
        <w:tc>
          <w:tcPr>
            <w:tcW w:w="212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rPr>
              <w:t>Estimated revenue</w:t>
            </w:r>
          </w:p>
        </w:tc>
        <w:tc>
          <w:tcPr>
            <w:tcW w:w="2020" w:type="dxa"/>
            <w:vAlign w:val="bottom"/>
            <w:vMerge w:val="restart"/>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48"/>
        </w:trPr>
        <w:tc>
          <w:tcPr>
            <w:tcW w:w="30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simulation</w:t>
            </w:r>
          </w:p>
        </w:tc>
        <w:tc>
          <w:tcPr>
            <w:tcW w:w="2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volatility</w:t>
            </w:r>
          </w:p>
        </w:tc>
        <w:tc>
          <w:tcPr>
            <w:tcW w:w="2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60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40" w:type="dxa"/>
            <w:vAlign w:val="bottom"/>
            <w:gridSpan w:val="2"/>
            <w:vMerge w:val="continue"/>
            <w:shd w:val="clear" w:color="auto" w:fill="CCEEFF"/>
          </w:tcPr>
          <w:p>
            <w:pPr>
              <w:spacing w:after="0"/>
              <w:rPr>
                <w:sz w:val="7"/>
                <w:szCs w:val="7"/>
                <w:color w:val="auto"/>
              </w:rPr>
            </w:pPr>
          </w:p>
        </w:tc>
        <w:tc>
          <w:tcPr>
            <w:tcW w:w="2120" w:type="dxa"/>
            <w:vAlign w:val="bottom"/>
            <w:gridSpan w:val="2"/>
            <w:vMerge w:val="continue"/>
            <w:shd w:val="clear" w:color="auto" w:fill="CCEEFF"/>
          </w:tcPr>
          <w:p>
            <w:pPr>
              <w:spacing w:after="0"/>
              <w:rPr>
                <w:sz w:val="7"/>
                <w:szCs w:val="7"/>
                <w:color w:val="auto"/>
              </w:rPr>
            </w:pPr>
          </w:p>
        </w:tc>
        <w:tc>
          <w:tcPr>
            <w:tcW w:w="2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84,602</w:t>
            </w: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2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weighted based on fair value of instruments in range.</w:t>
      </w:r>
    </w:p>
    <w:p>
      <w:pPr>
        <w:spacing w:after="0" w:line="231" w:lineRule="exact"/>
        <w:rPr>
          <w:sz w:val="20"/>
          <w:szCs w:val="20"/>
          <w:color w:val="auto"/>
        </w:rPr>
      </w:pPr>
    </w:p>
    <w:p>
      <w:pPr>
        <w:ind w:left="500" w:right="8660" w:hanging="492"/>
        <w:spacing w:after="0" w:line="532" w:lineRule="auto"/>
        <w:tabs>
          <w:tab w:leader="none" w:pos="19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Intangible Assets and Goodwill </w:t>
      </w:r>
      <w:r>
        <w:rPr>
          <w:rFonts w:ascii="Times New Roman" w:cs="Times New Roman" w:eastAsia="Times New Roman" w:hAnsi="Times New Roman"/>
          <w:sz w:val="17"/>
          <w:szCs w:val="17"/>
          <w:b w:val="1"/>
          <w:bCs w:val="1"/>
          <w:i w:val="1"/>
          <w:iCs w:val="1"/>
          <w:color w:val="auto"/>
        </w:rPr>
        <w:t>Intangible Assets, Net</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the carrying values of intangible assets as of March 31, 2026 and December 31, 2025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180" w:type="dxa"/>
            <w:vAlign w:val="bottom"/>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57"/>
        </w:trPr>
        <w:tc>
          <w:tcPr>
            <w:tcW w:w="26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Contractual performance fee</w:t>
            </w: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243"/>
        </w:trPr>
        <w:tc>
          <w:tcPr>
            <w:tcW w:w="26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allocations</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233,148</w:t>
            </w:r>
          </w:p>
        </w:tc>
      </w:tr>
      <w:tr>
        <w:trPr>
          <w:trHeight w:val="230"/>
        </w:trPr>
        <w:tc>
          <w:tcPr>
            <w:tcW w:w="2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Management contracts</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376,484</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relationships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w:t>
            </w: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Trade name</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r>
      <w:tr>
        <w:trPr>
          <w:trHeight w:val="230"/>
        </w:trPr>
        <w:tc>
          <w:tcPr>
            <w:tcW w:w="2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(a), (b)</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48"/>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659,839</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line="282" w:lineRule="auto"/>
        <w:tabs>
          <w:tab w:leader="none" w:pos="4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intangible assets with a net carrying value of $216.1 million as of March 31, 2026 related to the acquisition of Peppertree described in Note 3 to the Condensed Consolidated Financial Statements.</w:t>
      </w:r>
    </w:p>
    <w:p>
      <w:pPr>
        <w:spacing w:after="0" w:line="1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indefinite-lived intangible assets of $1.0 million as of March 31, 2026 and December 31, 2025.</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recognized no impairment losses on intangible assets during the three months ended March 31, 2026 and 2025.</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Intangible asset amortization expense was $36.1 million and $26.6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remaining amortization expense for finite-lived intangible assets that existed as of March 31, 2026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111,238</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and December 31, 2025, the carrying value of the Company’s goodwill was $498.2 million.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there have been no impairment losses recognized on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Variable Interest Entities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consolidates VIEs in which it is considered the primary beneficiary as described in Note 2 to the Condensed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assets of consolidated VIEs may only be used to settle obligations of these consolidated VIEs. In addition, there is no recourse to the Company for the consolidated VIEs’ liabilities.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three months ended March 31, 2026 and 2025, TPG did not provide any amounts to unconsolidated VIEs other than its obligated commitments.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maximum exposure to loss represents the loss of assets recognized by TPG relating to non-consolidated entities and any amounts due to non-consolidated entities.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assets and liabilities recognized in the Company’s Condensed Consolidated Statements of Financial Condition related to its interest in these non-consolidated VIEs and its maximum exposure to loss relating to non-consolidated VIEs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8"/>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(includes assets pledged of $496,120 and $521,124 as of March 31, 2026 and</w:t>
            </w:r>
          </w:p>
        </w:tc>
        <w:tc>
          <w:tcPr>
            <w:tcW w:w="3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61"/>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1,325,809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1,774,815</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408,022</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 clawback obligation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2,456,516</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72,266</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Maximum exposure to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4,309,552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4,711,619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cumulative performance allocations of $6.8 billion and $7.3 billion as of March 31, 2026 and December 31, 2025, respectively, are subject to reversal in the event of future losses.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RemainCo</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RemainCo Administrative Services Agreement</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and recorded in expense reimbursements and other within revenues in the Condensed Consolidated Statements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Securitization Vehicles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subsidiaries of the Company issued $250.0 million in privately placed Secured Notes. The Company used one or more special purpose entities that are considered VIEs to issue notes to third-party investors in the securitization transactions.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carrying amount of Secured Notes issued by the VIEs was $246.3 million and $246.2 million, respectively, and is shown in the Company’s Condensed Consolidated Statements of Financial Condition as debt obligations, net of unamortized issuance costs of $3.7 million and $3.8 million, respectively.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depicts the total assets and liabilities related to VIE securitization transactions included in the Company’s Condensed Consolidated Statements of Financial Condition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r>
      <w:tr>
        <w:trPr>
          <w:trHeight w:val="27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rights receivable</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496,120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521,124</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556,606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540,198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affiliates and other</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 net</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246,183</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249,835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246,505</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68"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rights receivable related to VIE securitization transactions are included in investments in the Company’s Condensed Consolidated Statements of Financial Condition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26, 2026, the Notes Issuer completed an offering of $500.0 million aggregate principal amount of Senior Notes due 2031 (the “2031 Senior Notes”). The 2031 Senior Notes will mature on May 15, 2031, unless earlier accelerated, redeemed or repurchased. The 2031 Senior Notes are fully and unconditionally guaranteed, jointly and severally, by each of the Guarantors, and are unsecured and unsubordinated obligations of the Notes Issuer and the Guarantors. The 2031 Senior Notes bear interest at a rate of 4.875% per annum, which is payable semi-annually in arrears on May 15 and November 15 of each year, beginning on November 15, 2026. The 2031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 Transaction costs related to the 2031 Senior Notes issuance have been capitalized and are amortized over the life of the 2031 Senior Notes.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and its subsidiaries’ debt obligations (in thousands):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4"/>
          </w:tcPr>
          <w:p>
            <w:pPr>
              <w:ind w:left="300"/>
              <w:spacing w:after="0"/>
              <w:rPr>
                <w:sz w:val="20"/>
                <w:szCs w:val="20"/>
                <w:color w:val="auto"/>
              </w:rPr>
            </w:pPr>
            <w:r>
              <w:rPr>
                <w:rFonts w:ascii="Times New Roman" w:cs="Times New Roman" w:eastAsia="Times New Roman" w:hAnsi="Times New Roman"/>
                <w:sz w:val="15"/>
                <w:szCs w:val="15"/>
                <w:b w:val="1"/>
                <w:bCs w:val="1"/>
                <w:color w:val="auto"/>
              </w:rPr>
              <w:t>As of March 31, 2026</w:t>
            </w:r>
          </w:p>
        </w:tc>
        <w:tc>
          <w:tcPr>
            <w:tcW w:w="200" w:type="dxa"/>
            <w:vAlign w:val="bottom"/>
          </w:tcPr>
          <w:p>
            <w:pPr>
              <w:spacing w:after="0"/>
              <w:rPr>
                <w:sz w:val="17"/>
                <w:szCs w:val="17"/>
                <w:color w:val="auto"/>
              </w:rPr>
            </w:pPr>
          </w:p>
        </w:tc>
        <w:tc>
          <w:tcPr>
            <w:tcW w:w="2180" w:type="dxa"/>
            <w:vAlign w:val="bottom"/>
            <w:gridSpan w:val="3"/>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r>
      <w:tr>
        <w:trPr>
          <w:trHeight w:val="135"/>
        </w:trPr>
        <w:tc>
          <w:tcPr>
            <w:tcW w:w="3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5"/>
                <w:szCs w:val="15"/>
                <w:b w:val="1"/>
                <w:bCs w:val="1"/>
                <w:color w:val="auto"/>
              </w:rPr>
              <w:t>Borrowing</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212"/>
        </w:trPr>
        <w:tc>
          <w:tcPr>
            <w:tcW w:w="374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1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10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Interest Rate</w:t>
            </w:r>
          </w:p>
        </w:tc>
      </w:tr>
      <w:tr>
        <w:trPr>
          <w:trHeight w:val="227"/>
        </w:trPr>
        <w:tc>
          <w:tcPr>
            <w:tcW w:w="374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Senior Unsecured Revolving Credit Facility</w:t>
            </w:r>
            <w:r>
              <w:rPr>
                <w:rFonts w:ascii="Times New Roman" w:cs="Times New Roman" w:eastAsia="Times New Roman" w:hAnsi="Times New Roman"/>
                <w:sz w:val="23"/>
                <w:szCs w:val="23"/>
                <w:color w:val="auto"/>
                <w:vertAlign w:val="superscript"/>
              </w:rPr>
              <w:t>(a)</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2030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29"/>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2034 Senior Notes</w:t>
            </w:r>
            <w:r>
              <w:rPr>
                <w:rFonts w:ascii="Times New Roman" w:cs="Times New Roman" w:eastAsia="Times New Roman" w:hAnsi="Times New Roman"/>
                <w:sz w:val="23"/>
                <w:szCs w:val="23"/>
                <w:color w:val="auto"/>
                <w:vertAlign w:val="superscript"/>
              </w:rPr>
              <w:t>(b)</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2034</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29"/>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2036 Senior Notes</w:t>
            </w:r>
            <w:r>
              <w:rPr>
                <w:rFonts w:ascii="Times New Roman" w:cs="Times New Roman" w:eastAsia="Times New Roman" w:hAnsi="Times New Roman"/>
                <w:sz w:val="23"/>
                <w:szCs w:val="23"/>
                <w:color w:val="auto"/>
                <w:vertAlign w:val="superscript"/>
              </w:rPr>
              <w:t>(c)</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January 2036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491,596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r>
      <w:tr>
        <w:trPr>
          <w:trHeight w:val="230"/>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2031 Senior Notes</w:t>
            </w:r>
            <w:r>
              <w:rPr>
                <w:rFonts w:ascii="Times New Roman" w:cs="Times New Roman" w:eastAsia="Times New Roman" w:hAnsi="Times New Roman"/>
                <w:sz w:val="23"/>
                <w:szCs w:val="23"/>
                <w:color w:val="auto"/>
                <w:vertAlign w:val="superscript"/>
              </w:rPr>
              <w:t>(d)</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2031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(e)</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2064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390,375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30"/>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Notes - Tranche A</w:t>
            </w:r>
            <w:r>
              <w:rPr>
                <w:rFonts w:ascii="Times New Roman" w:cs="Times New Roman" w:eastAsia="Times New Roman" w:hAnsi="Times New Roman"/>
                <w:sz w:val="23"/>
                <w:szCs w:val="23"/>
                <w:color w:val="auto"/>
                <w:vertAlign w:val="superscript"/>
              </w:rPr>
              <w:t>(f)</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2038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196,993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29"/>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Notes - Tranche B</w:t>
            </w:r>
            <w:r>
              <w:rPr>
                <w:rFonts w:ascii="Times New Roman" w:cs="Times New Roman" w:eastAsia="Times New Roman" w:hAnsi="Times New Roman"/>
                <w:sz w:val="23"/>
                <w:szCs w:val="23"/>
                <w:color w:val="auto"/>
                <w:vertAlign w:val="superscript"/>
              </w:rPr>
              <w:t>(f)</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June 2038</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30"/>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364-Day Revolving Credit Facility</w:t>
            </w:r>
            <w:r>
              <w:rPr>
                <w:rFonts w:ascii="Times New Roman" w:cs="Times New Roman" w:eastAsia="Times New Roman" w:hAnsi="Times New Roman"/>
                <w:sz w:val="23"/>
                <w:szCs w:val="23"/>
                <w:color w:val="auto"/>
                <w:vertAlign w:val="superscript"/>
              </w:rPr>
              <w:t>(g)</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2026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5.69 %</w:t>
            </w:r>
          </w:p>
        </w:tc>
      </w:tr>
      <w:tr>
        <w:trPr>
          <w:trHeight w:val="229"/>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Credit Facility</w:t>
            </w:r>
            <w:r>
              <w:rPr>
                <w:rFonts w:ascii="Times New Roman" w:cs="Times New Roman" w:eastAsia="Times New Roman" w:hAnsi="Times New Roman"/>
                <w:sz w:val="23"/>
                <w:szCs w:val="23"/>
                <w:color w:val="auto"/>
                <w:vertAlign w:val="superscript"/>
              </w:rPr>
              <w:t>(h)</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2027</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4,330,000</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2,342,953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1,722,547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the senior unsecured revolving credit facility, as amended (the “Senior Unsecured Revolving Credit Facility”) has aggregate revolving commitments of $1.75 billion. Dollar-denominated principal amounts outstanding under the Senior Unsecured Revolving Credit Facility accrue interest, at the option of the applicable borrower, either (i) at a base rate plus applicable margin not to exceed 0.20% per annum or (ii) at a term SOFR rate plus a 0.10% per annum adjustment and an applicable margin not to exceed 1.20%.</w:t>
      </w:r>
    </w:p>
    <w:p>
      <w:pPr>
        <w:spacing w:after="0" w:line="21"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5, 2024, the Notes Issuer issued $600.0 million aggregate principal amount of Senior Notes due 2034 (the “2034 Senior Notes”) with interest payable semi-annually in arrears on March 5 and September 5 of each year, beginning on September 5, 2024.</w:t>
      </w:r>
    </w:p>
    <w:p>
      <w:pPr>
        <w:spacing w:after="0" w:line="1" w:lineRule="exact"/>
        <w:rPr>
          <w:rFonts w:ascii="Times New Roman" w:cs="Times New Roman" w:eastAsia="Times New Roman" w:hAnsi="Times New Roman"/>
          <w:sz w:val="14"/>
          <w:szCs w:val="14"/>
          <w:color w:val="auto"/>
        </w:rPr>
      </w:pPr>
    </w:p>
    <w:p>
      <w:pPr>
        <w:ind w:left="500" w:hanging="492"/>
        <w:spacing w:after="0" w:line="282" w:lineRule="auto"/>
        <w:tabs>
          <w:tab w:leader="none" w:pos="4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14, 2025, the Notes Issuer issued $500.0 million aggregate principal amount of Senior Notes due 2036 (the “2036 Senior Notes” and, collectively with the 2031 Senior Notes and the 2034 Senior Notes, the “Senior Notes”) with interest payable semi-annually in arrears on January 15 and July 15 of each year, beginning on January 15, 2026.</w:t>
      </w:r>
    </w:p>
    <w:p>
      <w:pPr>
        <w:spacing w:after="0" w:line="13"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26, 2026, the Notes Issuer issued $500.0 million aggregate principal amount of 2031 Senior Notes with interest payable semi-annually in arrears on May 15 and November 15 of each year, beginning on November 15, 2026.</w:t>
      </w:r>
    </w:p>
    <w:p>
      <w:pPr>
        <w:spacing w:after="0" w:line="1" w:lineRule="exact"/>
        <w:rPr>
          <w:rFonts w:ascii="Times New Roman" w:cs="Times New Roman" w:eastAsia="Times New Roman" w:hAnsi="Times New Roman"/>
          <w:sz w:val="14"/>
          <w:szCs w:val="14"/>
          <w:color w:val="auto"/>
        </w:rPr>
      </w:pPr>
    </w:p>
    <w:p>
      <w:pPr>
        <w:jc w:val="both"/>
        <w:ind w:left="500" w:right="20" w:hanging="492"/>
        <w:spacing w:after="0" w:line="271" w:lineRule="auto"/>
        <w:tabs>
          <w:tab w:leader="none" w:pos="4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4, 2024, the Notes Issuer issued $400.0 million aggregate principal amount of Fixed-Rate Junior Subordinated notes due 2064 (the “Subordinated Notes”) with interest payable quarterly in arrears on March 15, June 15, September 15 and December 15 of each year, beginning on June 15, 2024, subject to the Notes Issuer’s right, on one or more occasions, to defer the payment of interest on the notes for up to five consecutive years.</w:t>
      </w:r>
    </w:p>
    <w:p>
      <w:pPr>
        <w:spacing w:after="0" w:line="2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Secured Notes are issued using on-balance sheet securitization vehicles, as further discussed in Note 7 to the Condensed Consolidated Financial Statements.</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This facility was increased to $300.0 million in April 2025 and subsequently extended in April 2026 to a new termination date of April 7, 2027.</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2014, a consolidated subsidiary of the Company entered into two $15.0 million subordinated revolving credit facilities (collectively, the “Subordinated Credit Facility”), for a total commitment of $30.0 million. The Subordinated Credit Facility is available for direct borrowings and is guaranteed by certain members of the TPG Operating Group. In August 2025, the subsidiary extended the maturity date of the Subordinated Credit Facility from August 2026 to August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March 31, 2026, the Company was in compliance with all covenants under the debt obligations.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fair values of the Company’s debt which are carried at amortized cost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682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2034 Senior Notes</w:t>
            </w:r>
            <w:r>
              <w:rPr>
                <w:rFonts w:ascii="Times New Roman" w:cs="Times New Roman" w:eastAsia="Times New Roman" w:hAnsi="Times New Roman"/>
                <w:sz w:val="23"/>
                <w:szCs w:val="23"/>
                <w:color w:val="auto"/>
                <w:vertAlign w:val="superscript"/>
              </w:rPr>
              <w:t>(a)</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627,402</w:t>
            </w:r>
          </w:p>
        </w:tc>
      </w:tr>
      <w:tr>
        <w:trPr>
          <w:trHeight w:val="229"/>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2036 Senior Notes</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499,380</w:t>
            </w: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2031 Senior Notes</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397,600</w:t>
            </w: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Notes - Tranche A</w:t>
            </w:r>
            <w:r>
              <w:rPr>
                <w:rFonts w:ascii="Times New Roman" w:cs="Times New Roman" w:eastAsia="Times New Roman" w:hAnsi="Times New Roman"/>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198,960</w:t>
            </w:r>
          </w:p>
        </w:tc>
      </w:tr>
      <w:tr>
        <w:trPr>
          <w:trHeight w:val="30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Notes - Tranche B</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49,070</w:t>
            </w: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8"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indicative quotes and the notes are classified as Level II within the fair value hierarchy.</w:t>
      </w:r>
    </w:p>
    <w:p>
      <w:pPr>
        <w:spacing w:after="0" w:line="5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quoted prices in active markets since the debt is publicly listed and the notes are classified as Level I within the fair value hierarchy.</w:t>
      </w:r>
    </w:p>
    <w:p>
      <w:pPr>
        <w:spacing w:after="0" w:line="68" w:lineRule="exact"/>
        <w:rPr>
          <w:rFonts w:ascii="Times New Roman" w:cs="Times New Roman" w:eastAsia="Times New Roman" w:hAnsi="Times New Roman"/>
          <w:sz w:val="14"/>
          <w:szCs w:val="14"/>
          <w:color w:val="auto"/>
        </w:rPr>
      </w:pPr>
    </w:p>
    <w:p>
      <w:pPr>
        <w:ind w:left="500" w:hanging="492"/>
        <w:spacing w:after="0" w:line="302" w:lineRule="auto"/>
        <w:tabs>
          <w:tab w:leader="none" w:pos="4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current market rates and credit spreads of the Company’s Senior Notes and debt with similar maturities. The notes are classified as Level II within the fair value hierarchy.</w:t>
      </w:r>
    </w:p>
    <w:p>
      <w:pPr>
        <w:spacing w:after="0" w:line="16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the case of the Company’s Senior Unsecured Revolving Credit Facility, Subordinated Credit Facility and 364-Day Credit Facility, the fair values approximate the carrying amounts represented in the Condensed Consolidated Financial Statements due to their variable rate nature.</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incurred interest expense of $31.2 million and $22.4 million respectively, on its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the Company is treated as a corporation for U.S. federal and state income tax purposes. The Company is subject to U.S. federal and state income taxes, in addition to local and foreign income taxes, with respect to its allocable share of taxable income generated by the TPG Operating Group. Prior to the Reorganization, the Company was treated as a partnership for U.S. federal income tax purposes and therefore was not subject to U.S. federal and state income taxes except for certain consolidated subsidiaries that were subject to taxation in the United States (federal, state and local) and in foreign jurisdictions.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Company has recognized net deferred tax assets before the considerations of valuation allowances in the amount of $1.1 billion and $993.9 million, respectively, which primarily relates to excess income tax basis versus book basis differences in connection with the Company’s investment in the TPG Operating Group. The excess of income tax basis in the TPG Operating Group is primarily due to the Reorganization and subsequent exchanges of Common Units for Class A common stock. As a result of the Reorganization and subsequent exchanges, the Company recorded deferred tax assets generated by the step-up in the tax basis of assets, that will be recovered as those underlying assets are sold or the tax basis is amortized.</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evaluates the realizability of its deferred tax asset on a quarterly basis and adjusts the valuation allowance when it is more likely than not that all or a portion of the deferred tax asset may not be realized. Management considers the scheduled reversal of deferred tax liabilities, projected future taxable income, and tax planning strategies in making this assessment. In projecting its taxable income, the Company begins with historic results and incorporates assumptions of the amount of future pre-tax operating income. The assumptions about future taxable income require significant judgment and are consistent with the plans and estimates that the Company uses to manage its business. The Company’s projections of future taxable income that include the effects of originating and reversing temporary differences, including those for the tax basis intangibles, indicate that it is more likely than not that the benefits from our deferred tax assets will be realized.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the Company has recognized a valuation allowance of $198.9 million and $141.3 million, respectively, which primarily relates to the Company’s investment in the TPG Operating Group. In evaluating the realizability of the deferred tax asset related to the Company’s investment in the TPG Operating Group, the Company determined that a portion of excess income tax basis in the TPG Operating Group will only reverse upon a sale of the Company’s interest in the TPG Operating Group which is not expected to occur in the foreseeable future. The Company has recognized valuation allowances against certain foreign tax credits available for use in the United States in the amount of $0.5 million, which are expected to expire unutilized, The Company also recognized a valuation allowance of $0.2 million primarily related to foreign net operating loss carryforwards, as it is more likely than not that this portion of our foreign deferred tax assets is not realizable.</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Company’s liability pursuant to the Tax Receivable Agreement related to the Reorganization and subsequent exchanges of TPG Operating Group partnership units for common stock was $782.2 million and $811.6 million, respectively. Approximately $475.5 million of the Tax Receivable Agreement liability is attributable to Related Parties further described in Note 10 and $306.7 million is attributable to non-affiliates recorded in other liabilities. During the three months ended March 31, 2026, there were no Common Units exchanged for Class A common stock. During the three months ended March 31, 2026, the Company made payments of $29.9 million in connection with the Tax Receivable Agreement.</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12.4% and 6.7% for the three months ended March 31, 2026 and 2025, respectively. The Company’s effective tax rate is dependent on many factors, including the estimated amount of income subject to tax. Consequently, the effective tax rate can vary from period to period. The Company’s overall effective tax rate in each of the periods described above deviates from the statutory rate primarily because (i) a portion of income and losses are allocated to non-controlling interests, and the tax liability on such income or loss is borne by the holders of such non-controlling interests, (ii) certain compensation expense that is not tax deductible and (iii) tax benefits related to equity-based compensation windfalls.</w:t>
      </w:r>
    </w:p>
    <w:p>
      <w:pPr>
        <w:spacing w:after="0" w:line="183"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Applicable accounting standards provide that the Company may estimate an annual effective tax rate and apply that rate to year-to-date income for each interim period. However, because the Company’s forecast of income before taxes is highly variable due to changes in market conditions, the actual effective income tax rate for the year-to-date period represents a better estimate of the consolidated annual effective income tax rate. Accordingly, for the three months ended March 31, 2026, the actual consolidated effective income tax rate was used to determine the Company’s income tax provision.</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uncertain tax positions. The Company files its tax returns as prescribed by the tax laws of the jurisdictions in which it operates. In the normal course of business, the Company is subject to examination by U.S. federal, state, local and foreign tax authorities. Although the outcome of tax audits is always uncertain, the Company does not believe the outcome of any future audit will have a material adverse effect on the Company’s Condensed Consolidated Financial Statements.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(also referred to as the global minimum tax or Global Anti-Base Erosion “GloBE” rules), which were designed to ensure multinational enterprises pay a certain level of tax within every jurisdiction in which they operate. Several jurisdictions in which the Company operates have enacted these rules. In January 2026, the OECD released Administrative Guidance that introduced new Safe Harbors including one that exempts U.S.-parented multinational groups from various aspects of the GloBE rules. The Company will continue to monitor for legislative changes related to this guidance. As of March 31, 2026, the Company has analyzed enacted legislation and determined that the effects of Pillar Two are not material to the Company’s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Due From and Due To Affiliates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Due from affiliates and due to affiliates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companies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and employees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related entities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93,239</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Unconsolidated VIEs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408,022</w:t>
            </w: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Due from affiliates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367,663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573,590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companies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and employees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579,039</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related entities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Unconsolidated VIEs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72,266</w:t>
            </w: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Due to affiliates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694,632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Affiliate receivables and payables historically have been settled in the normal course of business without formal payment terms, generally do not require any form of collateral and do not bear interest.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certain current and former employees and partners of TPG Partner Holdings are authorized to exchange Common Units for an equal number of shares of Class A Common Stock. During the three months ended March 31, 2026, there were no Common Units exchanged. As of March 31, 2026 and December 31, 2025, the Company has recorded a Tax Receivable Agreement liability of $475.5 million and $495.1 million, respectively, in connection with certain current and former employees and partners of TPG Partner Holdings, which is included in the partners and employees balance in due to affiliates in the Condensed Consolidated Statements of Financial Condition. During the three months ended March 31, 2026, the Company made payments of $29.9 million in connection with the Tax Receivable Agreement, of which $19.9 million was paid to related parties.</w:t>
      </w: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Fund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investment professionals and other individuals have made investments of their own capital in the TPG funds. These investments are generally not subject to management fees or performance allocations at the discretion of the general partner. Investments made by these individuals during the three months ended March 31, 2026 and 2025 totaled $89.7 million and $53.9 million,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Fee Income from Affiliates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Substantially all revenues are generated from TPG funds, limited partners of TPG funds, or portfolio companies. The Company disclosed revenues in Note 2 to the Condensed Consolidated Financial Statements.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Loans to Affiliates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enter into transactions in which it arranges short-term funding for affiliates, such as portfolio companies, as part of the Company’s capital markets activities. Under this arrangement, the Company may draw all or substantially all of its availability for borrowings under the 364-Day Credit Facility. Borrowings made under this facility are generally short-term fundings that are intended to be syndicated to third parties.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Line of Credit Arrangement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26, 2025, TPG Operating Group II, L.P. entered into an unsecured, uncommitted line of credit (the “Line of Credit”) with an affiliate of TPG Private Equity Opportunities (“T-POP”) to provide for up to a maximum aggregate principal amount of $250.0 million. No amount was outstanding on the Line of Credit as of March 31, 2026.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RemainCo Administrative Services Agreement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exchange for services provided by TPG Operating Group, RemainCo pays TPG Operating Group an annual administration fee in the amount of 1% per annum of the net asset value of RemainCo’s assets, with such amount payable quarterly in advance. The fees earned by the Company for the three months ended March 31, 2026 and 2025 were $3.1 million and $3.2 million, respectively, and recorded in fees and other in the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Leases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Company’s lease cost, cash flows, and other supplemental information related to its operating leases.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368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68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11"/>
        </w:trPr>
        <w:tc>
          <w:tcPr>
            <w:tcW w:w="680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Lease cost</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380" w:type="dxa"/>
            <w:vAlign w:val="bottom"/>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24,087</w:t>
            </w:r>
          </w:p>
        </w:tc>
        <w:tc>
          <w:tcPr>
            <w:tcW w:w="160" w:type="dxa"/>
            <w:vAlign w:val="bottom"/>
          </w:tcPr>
          <w:p>
            <w:pPr>
              <w:spacing w:after="0"/>
              <w:rPr>
                <w:sz w:val="19"/>
                <w:szCs w:val="19"/>
                <w:color w:val="auto"/>
              </w:rPr>
            </w:pP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22,546</w:t>
            </w: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costs</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4,588</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3,081</w:t>
            </w: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Sublease income</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r>
      <w:tr>
        <w:trPr>
          <w:trHeight w:val="229"/>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380" w:type="dxa"/>
            <w:vAlign w:val="bottom"/>
            <w:tcBorders>
              <w:bottom w:val="single" w:sz="8" w:color="auto"/>
            </w:tcBorders>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28,400</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25,258</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 rent expense for the three months ended March 31, 2026 and 2025, was $23.9 million and $22.6 million, respectively.</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Condensed Consolidated Statements of Cash Flows information related to leases were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55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5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40" w:type="dxa"/>
            <w:vAlign w:val="bottom"/>
            <w:gridSpan w:val="2"/>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16,724</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75,108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391,107</w:t>
            </w: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changes in right-of-use assets and operating lease liabilities</w:t>
            </w:r>
          </w:p>
        </w:tc>
        <w:tc>
          <w:tcPr>
            <w:tcW w:w="15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(27,899)</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905"/>
        </w:trPr>
        <w:tc>
          <w:tcPr>
            <w:tcW w:w="5500" w:type="dxa"/>
            <w:vAlign w:val="bottom"/>
          </w:tcPr>
          <w:p>
            <w:pPr>
              <w:spacing w:after="0"/>
              <w:rPr>
                <w:sz w:val="24"/>
                <w:szCs w:val="24"/>
                <w:color w:val="auto"/>
              </w:rPr>
            </w:pPr>
          </w:p>
        </w:tc>
        <w:tc>
          <w:tcPr>
            <w:tcW w:w="15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undiscounted cash flows on an annual basis for operating lease liabilities as of March 31, 2026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8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Year Due</w:t>
            </w:r>
          </w:p>
        </w:tc>
        <w:tc>
          <w:tcPr>
            <w:tcW w:w="500" w:type="dxa"/>
            <w:vAlign w:val="bottom"/>
          </w:tcPr>
          <w:p>
            <w:pPr>
              <w:spacing w:after="0"/>
              <w:rPr>
                <w:sz w:val="22"/>
                <w:szCs w:val="22"/>
                <w:color w:val="auto"/>
              </w:rPr>
            </w:pP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Lease Amount</w:t>
            </w:r>
            <w:r>
              <w:rPr>
                <w:rFonts w:ascii="Times New Roman" w:cs="Times New Roman" w:eastAsia="Times New Roman" w:hAnsi="Times New Roman"/>
                <w:sz w:val="23"/>
                <w:szCs w:val="23"/>
                <w:b w:val="1"/>
                <w:bCs w:val="1"/>
                <w:color w:val="auto"/>
                <w:vertAlign w:val="superscript"/>
              </w:rPr>
              <w:t>(a)</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85,299</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83,409</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75,954</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645,860</w:t>
            </w:r>
          </w:p>
        </w:tc>
      </w:tr>
      <w:tr>
        <w:trPr>
          <w:trHeight w:val="25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future undiscounted operating lease payments</w:t>
            </w:r>
          </w:p>
        </w:tc>
        <w:tc>
          <w:tcPr>
            <w:tcW w:w="500" w:type="dxa"/>
            <w:vAlign w:val="bottom"/>
            <w:shd w:val="clear" w:color="auto" w:fill="CCEEFF"/>
          </w:tcPr>
          <w:p>
            <w:pPr>
              <w:spacing w:after="0"/>
              <w:rPr>
                <w:sz w:val="21"/>
                <w:szCs w:val="21"/>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963,087</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(321,095)</w:t>
            </w: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641,992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tenant improvement allowances.</w:t>
      </w:r>
    </w:p>
    <w:p>
      <w:pPr>
        <w:spacing w:after="0" w:line="217" w:lineRule="exact"/>
        <w:rPr>
          <w:sz w:val="20"/>
          <w:szCs w:val="20"/>
          <w:color w:val="auto"/>
        </w:rPr>
      </w:pPr>
    </w:p>
    <w:p>
      <w:pPr>
        <w:ind w:left="500" w:right="8420" w:hanging="492"/>
        <w:spacing w:after="0" w:line="503" w:lineRule="auto"/>
        <w:tabs>
          <w:tab w:leader="none" w:pos="28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Guarantees</w:t>
      </w: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consolidated entities have provided guarantees for obligations related to third-party lending programs that enable certain of our eligible employees to obtain financing for capital contributions into TPG funds. At March 31, 2026, the amounts outstanding related to these guarantees were $84.0 million, and the maximum obligations guaranteed under these agreements is $350.6 million.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March 31, 2026, the TPG Operating Group had unfunded investment commitments of $717.0 million to the investment funds that the Company manages and other strategic investments.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(Clawback) With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exceeds the amount the general partners are ultimately entitled to receive based on cumulative fund results.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March 31, 2026, if all investments held by the TPG funds were liquidated at their current unrealized fair value, there would be clawback of $6.2 million, net of tax, for which a performance fee reserve was recorded within other liabilities in the Condensed Consolidated Statements of Financial Condition.</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At March 31, 2026, if all remaining investments were deemed worthless, a possibility management views as remote, the amount of performance allocations subject to potential clawback would be $2,663.4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2026, the general partners made no payments on the clawback liability.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Actions and Other Proceedings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but not limited to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in such cases, there may be an exposure to loss in excess of any amounts accrued. Loss contingencies may be, in part or in whole, subject to insurance or other payments such as contributions and/or indemnity, which may reduce any ultimate loss.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information presently known by management, the Company has not recorded a potential liability related to any pending legal proceeding except as disclosed below,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2011, a number of TPG-related entities and individuals, including David Bonderman and Jim Coulter,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have been named in the lawsuits as well. The cases all allege generally that a late 2006 refinancing of the Hellas group of companies was improper.</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date, most of the lawsuits filed in New York Federal and State courts against TPG and Apax-related defendants have been dismissed, with those dismissals upheld on appeal, or the appeal period has passed. In one New York State court case, the New York Court of Appeals recently affirmed a decision by the Appellate Division granting summary judgment to the TPG-related parties on the sole remaining claim in that case, thereby ending that case in TPG’s favor. In February 2018, a High Court case in London against a number of TPG and Apax-related parties and individuals was abandoned by the claimants in the early days of a scheduled six-week trial with costs of $9.5 million awarded to the TPG and Apax-related parties, of which $3.4 million was awarded to TPG. A lawsuit pending in the District Court of Luxembourg against two former TPG partners and two individuals related to Apax involved in the investment has been decided after trial in their favor on all claims and is now on appeal.</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Luxembourg appeal, there are additional cases against TPG and Apax-related parties pending in New York state court. In one case, the Court granted and denied in part motions to dismiss by all defendants, paring back the parties, claims and amounts at issue, and appeals of that decision are pending. Finally, a third group of plaintiffs, similarly situated to those in the other cases, filed new claims in 2024 seeking recovery from numerous TPG and Apax-related parties. The prior noted stayed federal actions have now been dismissed with prejudice by court order and stipulation.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believes that the lawsuits related to the Hellas investment are without merit and intends to continue to defend them vigorously.</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has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Class A Common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income (loss) per share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(123,276)</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87,828</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62,435</w:t>
            </w:r>
          </w:p>
        </w:tc>
        <w:tc>
          <w:tcPr>
            <w:tcW w:w="0" w:type="dxa"/>
            <w:vAlign w:val="bottom"/>
          </w:tcPr>
          <w:p>
            <w:pPr>
              <w:spacing w:after="0"/>
              <w:rPr>
                <w:sz w:val="1"/>
                <w:szCs w:val="1"/>
                <w:color w:val="auto"/>
              </w:rPr>
            </w:pPr>
          </w:p>
        </w:tc>
      </w:tr>
      <w:tr>
        <w:trPr>
          <w:trHeight w:val="155"/>
        </w:trPr>
        <w:tc>
          <w:tcPr>
            <w:tcW w:w="7040" w:type="dxa"/>
            <w:vAlign w:val="bottom"/>
            <w:shd w:val="clear" w:color="auto" w:fill="CCEEFF"/>
          </w:tcPr>
          <w:p>
            <w:pPr>
              <w:ind w:left="560"/>
              <w:spacing w:after="0" w:line="156" w:lineRule="exact"/>
              <w:rPr>
                <w:sz w:val="20"/>
                <w:szCs w:val="20"/>
                <w:color w:val="auto"/>
              </w:rPr>
            </w:pPr>
            <w:r>
              <w:rPr>
                <w:rFonts w:ascii="Times New Roman" w:cs="Times New Roman" w:eastAsia="Times New Roman" w:hAnsi="Times New Roman"/>
                <w:sz w:val="18"/>
                <w:szCs w:val="18"/>
                <w:b w:val="1"/>
                <w:bCs w:val="1"/>
                <w:color w:val="auto"/>
              </w:rPr>
              <w:t>Net (loss) income attributable to Class A Common Stockholders prior to</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4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Reallocation of earnings to unvested participating restricted stock units</w:t>
            </w:r>
            <w:r>
              <w:rPr>
                <w:rFonts w:ascii="Times New Roman" w:cs="Times New Roman" w:eastAsia="Times New Roman" w:hAnsi="Times New Roman"/>
                <w:sz w:val="23"/>
                <w:szCs w:val="23"/>
                <w:color w:val="auto"/>
                <w:vertAlign w:val="superscript"/>
              </w:rPr>
              <w:t>(a)</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 income attributable to Class A Common Stockholders - Basic</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assuming exchange of non-controlling interest</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 income attributable to Class A Common Stockholders - Diluted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of Common Stock Outstanding - Basic</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159,635,235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117,408,263</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Exchange of Common Units to Class A Common Stock</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224,076,087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251,950,698</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 Diluted</w:t>
            </w:r>
          </w:p>
        </w:tc>
        <w:tc>
          <w:tcPr>
            <w:tcW w:w="4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383,711,322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369,358,961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available to Class A common stock per share</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Dividends declared per share of Class A Common Stock</w:t>
            </w:r>
            <w:r>
              <w:rPr>
                <w:rFonts w:ascii="Times New Roman" w:cs="Times New Roman" w:eastAsia="Times New Roman" w:hAnsi="Times New Roman"/>
                <w:sz w:val="23"/>
                <w:szCs w:val="23"/>
                <w:color w:val="auto"/>
                <w:vertAlign w:val="superscript"/>
              </w:rPr>
              <w:t>(b)</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right="20" w:hanging="492"/>
        <w:spacing w:after="0" w:line="282" w:lineRule="auto"/>
        <w:tabs>
          <w:tab w:leader="none" w:pos="49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undistributed losses were allocated to unvested participating RSUs during the three months ended March 31, 2026 and 2025, as the holders do not have a contractual obligation to share in the losses of the Company with common stockholders.</w:t>
      </w:r>
    </w:p>
    <w:p>
      <w:pPr>
        <w:spacing w:after="0" w:line="1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declared reflects the calendar date of the declaration for each distribution. The first quarter dividends were declared on May 1, 2026 and are payable on May 26, 2026.</w:t>
      </w:r>
    </w:p>
    <w:p>
      <w:pPr>
        <w:spacing w:after="0" w:line="231" w:lineRule="exact"/>
        <w:rPr>
          <w:sz w:val="20"/>
          <w:szCs w:val="20"/>
          <w:color w:val="auto"/>
        </w:rPr>
      </w:pPr>
    </w:p>
    <w:p>
      <w:pPr>
        <w:ind w:left="500" w:right="8580" w:hanging="492"/>
        <w:spacing w:after="0" w:line="532" w:lineRule="auto"/>
        <w:tabs>
          <w:tab w:leader="none" w:pos="28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Equity-Based Compensation </w:t>
      </w:r>
      <w:r>
        <w:rPr>
          <w:rFonts w:ascii="Times New Roman" w:cs="Times New Roman" w:eastAsia="Times New Roman" w:hAnsi="Times New Roman"/>
          <w:sz w:val="17"/>
          <w:szCs w:val="17"/>
          <w:b w:val="1"/>
          <w:bCs w:val="1"/>
          <w:i w:val="1"/>
          <w:iCs w:val="1"/>
          <w:color w:val="auto"/>
        </w:rPr>
        <w:t>Restricted Stock Unit Awards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Company’s Omnibus Equity Incentive Plan (the “Omnibus Plan”), the Company is permitted to grant equity awards representing ownership interests in TPG Inc.’s Class A common stock. On March 3, 2026, an additional 6,383,349 shares of Class A common stock were registered, increasing the share reserve to 37,744,577, of which 30,658,394 were available to be issued as of March 31, 2026.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Service Awards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Ordinary Service Awards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grants equity awards subject to service conditions, granted as part of the Company’s standard incentive structure initiatives. These units generally vest over a term of three to five years. These awards are referred to as “Ordinary Service Awards.”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also grants equity awards that are subject to service conditions, a portion of which are granted on a non-standard basis to reward or incentivize key contributions that advance the Company’s long-term goals of value creation. These non-standard awards are referred to as “Special Purpose Service Awards,” and collectively with Ordinary Service Awards, “Service Awards.” Dividend equivalents are paid on the vested and unvested portion of the Service Awards when the dividend occurs.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Service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IPO in 2022, TPG employees, certain of the Company’s executives and certain non-employees received one-time grants of equity-based awards in the form of Special Purpose Service Awards which entitle the holder to one share of Class A common stock upon vesting. These units generally vest over a term of four to six years.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of Angelo Gordon, the Company agreed to grant an aggregate of 8.4 million Special Purpose Service Awards to former Angelo Gordon employees to promote retention post-closing, of which 5.1 million are outstanding to date. These units generally vest over a term of five years.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in connection with the acquisition of Peppertree, the Company granted 0.3 million Special Purpose Service Awards to former Peppertree employees. These units generally vest over a term of five years.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IPO Executive Service Awards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Omnibus Plan and in conjunction with the IPO, the Company granted 1.1 million restricted stock units as Special Purpose Service Awards in order to incentivize and retain key members of management and further their alignment with our shareholders (the “IPO Executive Service Awards”). The IPO Executive Service Awards are subject to service-based vesting conditions over a five-year service period with vesting having commenced on the second anniversary of the grant date. Compensation expense for these awards is recognized on a straight-line basis.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CEO Service Award</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Omnibus Plan, the Company granted a long-term performance incentive award to the Company’s CEO on November 30, 2023, comprised of 2.6 million restricted stock units as Special Purpose Service Awards, intended to incentivize the CEO to drive stockholder value in a manner that is aligned with stockholder interests, reward him for organic and inorganic Company growth, and bring his compensation in-line with peer competitors in order to promote and ensure retention (the “CEO Service Award”). The CEO Service Award is subject to service-based vesting conditions over a four-year service period and is scheduled to vest 25% on each of January 13, 2025, 2026, 2027 and 2028. Compensation expense for this award is recognized on a straight-line basis.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Executive Chairman Service Award</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Omnibus Plan, the Company granted a long-term performance incentive award to the Company’s Executive Chairman on August 19, 2025, comprised of 0.3 million restricted stock units as Special Purpose Service Awards, intended to incentivize the Executive Chairman to drive stockholder value in a manner that is aligned with stockholder interests, including recognizing the Executive Chairman’s role in the establishment of the firm’s Impact platform and incentivizing his continued leadership of the platform (the “Executive Chairman Service Award”). The Executive Chairman Service Award is subject to service-based vesting conditions over a four-year service period and is scheduled to vest 25% on each of July 15, 2026, 2027, 2028 and 2029. Compensation expense for this award is recognized on a straight-line basis.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outstanding RSUs for Service Awards as of March 31, 2026 (in millions, including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Expense for the Three Months</w:t>
            </w:r>
          </w:p>
        </w:tc>
        <w:tc>
          <w:tcPr>
            <w:tcW w:w="180" w:type="dxa"/>
            <w:vAlign w:val="bottom"/>
          </w:tcPr>
          <w:p>
            <w:pPr>
              <w:spacing w:after="0"/>
              <w:rPr>
                <w:sz w:val="16"/>
                <w:szCs w:val="16"/>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gridSpan w:val="6"/>
            <w:vMerge w:val="continue"/>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vMerge w:val="restart"/>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680" w:type="dxa"/>
            <w:vAlign w:val="bottom"/>
          </w:tcPr>
          <w:p>
            <w:pPr>
              <w:spacing w:after="0"/>
              <w:rPr>
                <w:sz w:val="9"/>
                <w:szCs w:val="9"/>
                <w:color w:val="auto"/>
              </w:rPr>
            </w:pPr>
          </w:p>
        </w:tc>
        <w:tc>
          <w:tcPr>
            <w:tcW w:w="17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Units Outstanding as</w:t>
            </w:r>
          </w:p>
        </w:tc>
        <w:tc>
          <w:tcPr>
            <w:tcW w:w="1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3"/>
            <w:vMerge w:val="continue"/>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Expense as of March</w:t>
            </w:r>
          </w:p>
        </w:tc>
        <w:tc>
          <w:tcPr>
            <w:tcW w:w="0" w:type="dxa"/>
            <w:vAlign w:val="bottom"/>
          </w:tcPr>
          <w:p>
            <w:pPr>
              <w:spacing w:after="0"/>
              <w:rPr>
                <w:sz w:val="1"/>
                <w:szCs w:val="1"/>
                <w:color w:val="auto"/>
              </w:rPr>
            </w:pPr>
          </w:p>
        </w:tc>
      </w:tr>
      <w:tr>
        <w:trPr>
          <w:trHeight w:val="36"/>
        </w:trPr>
        <w:tc>
          <w:tcPr>
            <w:tcW w:w="4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3"/>
                <w:szCs w:val="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5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468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March 31, 2026</w:t>
            </w:r>
          </w:p>
        </w:tc>
        <w:tc>
          <w:tcPr>
            <w:tcW w:w="1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31, 2026</w:t>
            </w:r>
          </w:p>
        </w:tc>
        <w:tc>
          <w:tcPr>
            <w:tcW w:w="0" w:type="dxa"/>
            <w:vAlign w:val="bottom"/>
          </w:tcPr>
          <w:p>
            <w:pPr>
              <w:spacing w:after="0"/>
              <w:rPr>
                <w:sz w:val="1"/>
                <w:szCs w:val="1"/>
                <w:color w:val="auto"/>
              </w:rPr>
            </w:pPr>
          </w:p>
        </w:tc>
      </w:tr>
      <w:tr>
        <w:trPr>
          <w:trHeight w:val="23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5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Ordinary Service Awards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56"/>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 Purpose Service Awards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Service Award RSUs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680" w:type="dxa"/>
            <w:vAlign w:val="bottom"/>
          </w:tcPr>
          <w:p>
            <w:pPr>
              <w:spacing w:after="0"/>
              <w:rPr>
                <w:sz w:val="24"/>
                <w:szCs w:val="24"/>
                <w:color w:val="auto"/>
              </w:rPr>
            </w:pPr>
          </w:p>
        </w:tc>
        <w:tc>
          <w:tcPr>
            <w:tcW w:w="15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granted 7.4 million and 3.4 million Service Awards, respectively. The grant date fair value was the public share price on each respective grant date.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rollforward of the Company’s unvested Service Awards for the three months ended March 31, 2026 (awards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Service Awards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Weighted-Average Grant Date</w:t>
            </w:r>
          </w:p>
        </w:tc>
        <w:tc>
          <w:tcPr>
            <w:tcW w:w="0" w:type="dxa"/>
            <w:vAlign w:val="bottom"/>
          </w:tcPr>
          <w:p>
            <w:pPr>
              <w:spacing w:after="0"/>
              <w:rPr>
                <w:sz w:val="1"/>
                <w:szCs w:val="1"/>
                <w:color w:val="auto"/>
              </w:rPr>
            </w:pPr>
          </w:p>
        </w:tc>
      </w:tr>
      <w:tr>
        <w:trPr>
          <w:trHeight w:val="214"/>
        </w:trPr>
        <w:tc>
          <w:tcPr>
            <w:tcW w:w="66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56"/>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r>
        <w:trPr>
          <w:trHeight w:val="257"/>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$893.6 million of total estimated unrecognized compensation expense related to unvested Service Awards, which is expected to be recognized over the weighted average remaining requisite service period of 3.3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 and Performance Condition Awards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Ordinary Performance Condition Awards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ordinary course of business, the Company grants equity awards, subject to a combination of service and performance conditions, as part of the Company’s standard incentive structure initiatives. These awards are referred to as (“Ordinary Performance Condition Awards”).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equity awards that are subject to a combination of service and market conditions, granted on a non-standard basis to reward or incentivize key contributions that advance the Company’s long-term goals of value creation. These awards are referred to as (“Special Purpose Market Condition Awards,” and collectively with the Ordinary Performance Condition Awards, “Market and Performance Condition Awards”).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IPO Executive Market Condition Awards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Omnibus Plan and in conjunction with the IPO, the Company also granted 1.1 million restricted stock units as Special Purpose Market Condition Awards in order to incentivize and retain key members of management and further their alignment with our shareholders (the “IPO Executive Market Condition Awards”). The IPO Executive Market Condition Awards are subject to both market performance and service based vesting conditions, including (i) a time-based component requiring a five-year service period and (ii) a market price component with a target Class A common stock share price at $44.25 within five years and $59.00 within eight years. Dividend equivalents accrue on the vested and unvested Special Purpose Service Awards when the dividend occurs. Dividend equivalents accrue for the vested and unvested portions of the IPO Executive Market Condition Awards and are paid only when both the applicable service and market performance conditions are satisfied.</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the IPO Executive Market Condition Awards is recognized using the accelerated attribution method on a tranche-by-tranche basis. During 2024, both market price components of Class A common stock share price of $44.25 and $59.00 were met. During the three months ended March 31, 2026, 0.2 million IPO Executive Market Condition Awards vested.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CEO Market Conditions Award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long-term performance incentive award granted to the CEO under the Omnibus Plan on November 30, 2023, is also comprised of 3.9 million restricted stock units as Special Purpose Market Condition Awards, and is intended to incentivize the CEO to drive stockholder value in a manner that is aligned with stockholder interests, reward him for organic and inorganic Company growth, and bring his compensation in line with peer competitors in order to promote and ensure retention (the “CEO Market Conditions Award”).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CEO Market Conditions Award is subject to both market performance and service based vesting conditions, including (i) a time-based component requiring a five-year service period and (ii) a market price component that is only achieved when the 30-day volume weighted average trading price of a share of Class A common stock meets or exceeds certain stock price hurdles. 25% of each service vesting tranche of the CEO Market Conditions Award is eligible to be earned and vest following achievement of each of the following Class A common stock prices: $52.50, $58.45, $64.05 and $70.00. These stock price hurdles represent a premium of 150%, 167%, 183% and 200%, respectively, of the closing price of a share of Class A common stock on the date of grant. The first market hurdle must be achieved by January 13, 2029, and the remaining hurdles by January 13, 2030. If the applicable market hurdles are not achieved by the specified periods, the applicable portions of the CEO Market Conditions Award will be forfeited. Restricted stock units from the CEO Market Conditions Award that (i) vest prior to January 13, 2029 will be settled promptly following January 13, 2029, and (ii) vest after January 13, 2029 will be settled promptly following January 13, 2030, subject to certain other accelerated settlement conditions. Dividend equivalents accrue for the vested and unvested portions of the CEO Market Conditions Award and are paid only if and when both the applicable service and market conditions are satisfied.</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the CEO Market Conditions Award is recognized using the accelerated attribution method on a tranche-by-tranche basis. During 2024, the first three market hurdles of the CEO Market Conditions Award of Class A common stock share prices of $52.50, $58.45 and $64.05 were met. As such, 20% of these tranches have vested or will vest on each of January 13, 2025, 2026, 2027, 2028 and 2029.</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Executive Chairman Market Conditions Award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long-term performance incentive award granted to the Executive Chairman under the Omnibus Plan on August 19, 2025, is also comprised of 0.5 million restricted stock units as Special Purpose Market Condition Awards, and is intended to incentivize the Executive Chairman to drive stockholder value in a manner that is aligned with stockholder interests, including recognizing the Executive Chairman’s role in the establishment of the firm’s Impact platform and incentivizing his continued leadership of the platform (the “Executive Chairman Market Conditions Award”).</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Executive Chairman Market Conditions Award is subject to both market performance and service based vesting conditions, including (i) a time-based component requiring a five-year service period and (ii) a market price component that is only achieved when the 30-trading day volume weighted average trading price of a share of Class A common stock meets or exceeds certain stock price hurdles. 25% of each service vesting tranche of the Executive Chairman Market Conditions Award is eligible to be earned and vest following achievement of each of the following Class A common stock prices: $90.98, $101.29, $110.99 and $121.30. These stock price hurdles represent a premium of 150%, 167%, 183% and 200%, respectively, of the closing price of a share of Class A common stock on the date of grant. The first market hurdle must be achieved by July 15, 2030, and the remaining hurdles by July 15, 2031. If the applicable market hurdles are not achieved by the specified periods, the applicable portions of the Executive Chairman Market Conditions Award will be forfeited. Restricted stock units from the Executive Chairman Market Conditions Award that (i) vest prior to July 15, 2030, will be settled promptly following July 15, 2030, and (ii) vest after July 15, 2030, will be settled promptly following July 15, 2031, subject to certain other accelerated settlement conditions. Dividend equivalents accrue for the vested and unvested portions of the Executive Chairman Market Conditions Award and are paid only if and when both the applicable service and market conditions are satisfied.</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Compensation expense for the Executive Chairman Market Conditions Award is recognized using the accelerated attribution method on a tranche-by-tranche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RSUs for Market and Performance Condition Awards as of March 31, 2026 (in millions, including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 Expense for the Three Months</w:t>
            </w:r>
          </w:p>
        </w:tc>
        <w:tc>
          <w:tcPr>
            <w:tcW w:w="180" w:type="dxa"/>
            <w:vAlign w:val="bottom"/>
          </w:tcPr>
          <w:p>
            <w:pPr>
              <w:spacing w:after="0"/>
              <w:rPr>
                <w:sz w:val="16"/>
                <w:szCs w:val="16"/>
                <w:color w:val="auto"/>
              </w:rPr>
            </w:pPr>
          </w:p>
        </w:tc>
        <w:tc>
          <w:tcPr>
            <w:tcW w:w="1380" w:type="dxa"/>
            <w:vAlign w:val="bottom"/>
            <w:vMerge w:val="restart"/>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6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Units Outstanding as</w:t>
            </w:r>
          </w:p>
        </w:tc>
        <w:tc>
          <w:tcPr>
            <w:tcW w:w="18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5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Expense as of March</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March 31, 2026</w:t>
            </w:r>
          </w:p>
        </w:tc>
        <w:tc>
          <w:tcPr>
            <w:tcW w:w="1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31, 2026</w:t>
            </w:r>
          </w:p>
        </w:tc>
        <w:tc>
          <w:tcPr>
            <w:tcW w:w="0" w:type="dxa"/>
            <w:vAlign w:val="bottom"/>
          </w:tcPr>
          <w:p>
            <w:pPr>
              <w:spacing w:after="0"/>
              <w:rPr>
                <w:sz w:val="1"/>
                <w:szCs w:val="1"/>
                <w:color w:val="auto"/>
              </w:rPr>
            </w:pPr>
          </w:p>
        </w:tc>
      </w:tr>
      <w:tr>
        <w:trPr>
          <w:trHeight w:val="23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Ordinary Performance Condition Awards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 Purpose Market Condition Awards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 and Performance Condition Award RSUs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roll forward of the Company’s unvested Special Purpose Market Condition Awards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(awards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Market Condition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r>
      <w:tr>
        <w:trPr>
          <w:trHeight w:val="214"/>
        </w:trPr>
        <w:tc>
          <w:tcPr>
            <w:tcW w:w="70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56"/>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57"/>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 unsettled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56"/>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r>
    </w:tbl>
    <w:p>
      <w:pPr>
        <w:spacing w:after="0" w:line="27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$35.7 million of total estimated unrecognized compensation expense related to unvested Special Purpose Market Condition Awards, which is expected to be recognized over the weighted average remaining requisite service period of 2.2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Restricted Stock Units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total restricted stock unit compensation expense of $93.9 million and $87.5 million, respectively. The expense associated with awards granted to certain non-employees of the Company is recognized in general, administrative and other in our Condensed Consolidated Statements of Operations and totaled $0.8 million and $4.4 million for the three months ended March 31, 2026 and 2025, respectively.</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had 8.0 million and 7.4 million restricted stock units vest at a fair value of $529.9 million and $463.6 million, respectively (excluding vested, but unsettled units). The restricted stock units were settled by issuing 4,885,329 shares of TPG Inc. Class A common stock, net of withholding tax of $209.0 million for the three months ended March 31, 2026 and by issuing 4,554,542 shares of TPG Inc. Class A common stock, net of withholding tax of $180.1 million (excluding vested, but unsettled units) for the three months ended March 31, 2025.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all outstanding restricted stock unit awards as of March 31, 2026 (in millions, including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 Expense for the Three Months</w:t>
            </w:r>
          </w:p>
        </w:tc>
        <w:tc>
          <w:tcPr>
            <w:tcW w:w="200" w:type="dxa"/>
            <w:vAlign w:val="bottom"/>
          </w:tcPr>
          <w:p>
            <w:pPr>
              <w:spacing w:after="0"/>
              <w:rPr>
                <w:sz w:val="17"/>
                <w:szCs w:val="17"/>
                <w:color w:val="auto"/>
              </w:rPr>
            </w:pPr>
          </w:p>
        </w:tc>
        <w:tc>
          <w:tcPr>
            <w:tcW w:w="13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Ended,</w:t>
            </w:r>
          </w:p>
        </w:tc>
        <w:tc>
          <w:tcPr>
            <w:tcW w:w="1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28"/>
        </w:trPr>
        <w:tc>
          <w:tcPr>
            <w:tcW w:w="4660" w:type="dxa"/>
            <w:vAlign w:val="bottom"/>
          </w:tcPr>
          <w:p>
            <w:pPr>
              <w:spacing w:after="0"/>
              <w:rPr>
                <w:sz w:val="11"/>
                <w:szCs w:val="11"/>
                <w:color w:val="auto"/>
              </w:rPr>
            </w:pPr>
          </w:p>
        </w:tc>
        <w:tc>
          <w:tcPr>
            <w:tcW w:w="17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Units Outstanding as</w:t>
            </w:r>
          </w:p>
        </w:tc>
        <w:tc>
          <w:tcPr>
            <w:tcW w:w="180" w:type="dxa"/>
            <w:vAlign w:val="bottom"/>
          </w:tcPr>
          <w:p>
            <w:pPr>
              <w:spacing w:after="0"/>
              <w:rPr>
                <w:sz w:val="11"/>
                <w:szCs w:val="1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1"/>
                <w:szCs w:val="11"/>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Expense as of March</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March 31, 2026</w:t>
            </w:r>
          </w:p>
        </w:tc>
        <w:tc>
          <w:tcPr>
            <w:tcW w:w="1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31, 2026</w:t>
            </w:r>
          </w:p>
        </w:tc>
        <w:tc>
          <w:tcPr>
            <w:tcW w:w="0" w:type="dxa"/>
            <w:vAlign w:val="bottom"/>
          </w:tcPr>
          <w:p>
            <w:pPr>
              <w:spacing w:after="0"/>
              <w:rPr>
                <w:sz w:val="1"/>
                <w:szCs w:val="1"/>
                <w:color w:val="auto"/>
              </w:rPr>
            </w:pPr>
          </w:p>
        </w:tc>
      </w:tr>
      <w:tr>
        <w:trPr>
          <w:trHeight w:val="23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5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Ordinary Awards: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Service Awards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57"/>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Ordinary Performance Condition Awards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56"/>
        </w:trPr>
        <w:tc>
          <w:tcPr>
            <w:tcW w:w="46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Special Purpose Awards: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Special Purpose Service Awards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Special Purpose Market Condition Awards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Restricted Stock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Reorganization and the IPO in 2022, certain of the Company’s current partners hold restricted indirect interests in Common Units through TPG Partner Holdings and indirect economic interests through RemainCo. TPG Partner Holdings and RemainCo are presented as non-controlling interest holders within the Company’s Condensed Consolidated Financial Statements. The interests in TPG Partner Holdings (“TPH Units”) and indirectly in RemainCo (“RPH Units”) are generally subject to service, or, in certain cases, to both service and performance conditions. Holders of these interests participate in distributions regardless of the vesting status. Additionally, in conjunction with the Reorganization, the IPO and the acquisition of NewQuest, certain TPG partners and NewQuest principals were granted Common Units directly at TPG Operating Group and Class A common stock (collectively, the “Other IPO-Related Awards”) subject to both service and performance conditions.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of Angelo Gordon, the Company granted 43.8 million of unvested Common Units to former Angelo Gordon partners (included in Common Units below), which are considered compensatory under ASC 718. These units generally vest over a term of five years and participate in distributions at the TPG Operating Group along with all vested equity.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of Peppertree, the Company granted 5.4 million of unvested Common Units to Peppertree Co-Presidents (included in Common Units below), which are considered compensatory under ASC 718. These units generally vest over a term of five years and participate in distributions at the TPG Operating Group along with all vested equity.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outstanding Other Awards as of March 31, 2026 (in millions, including share data):</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34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Compensation Expense for the Three Months</w:t>
            </w:r>
          </w:p>
        </w:tc>
        <w:tc>
          <w:tcPr>
            <w:tcW w:w="200" w:type="dxa"/>
            <w:vAlign w:val="bottom"/>
          </w:tcPr>
          <w:p>
            <w:pPr>
              <w:spacing w:after="0"/>
              <w:rPr>
                <w:sz w:val="17"/>
                <w:szCs w:val="17"/>
                <w:color w:val="auto"/>
              </w:rPr>
            </w:pPr>
          </w:p>
        </w:tc>
        <w:tc>
          <w:tcPr>
            <w:tcW w:w="13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Unrecognized</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72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Units/Shares</w:t>
            </w: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Ended,</w:t>
            </w:r>
          </w:p>
        </w:tc>
        <w:tc>
          <w:tcPr>
            <w:tcW w:w="1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7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180" w:type="dxa"/>
            <w:vAlign w:val="bottom"/>
          </w:tcPr>
          <w:p>
            <w:pPr>
              <w:spacing w:after="0"/>
              <w:rPr>
                <w:sz w:val="11"/>
                <w:szCs w:val="1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1"/>
                <w:szCs w:val="11"/>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5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Expense as of March</w:t>
            </w: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31, 2026</w:t>
            </w:r>
          </w:p>
        </w:tc>
        <w:tc>
          <w:tcPr>
            <w:tcW w:w="0" w:type="dxa"/>
            <w:vAlign w:val="bottom"/>
          </w:tcPr>
          <w:p>
            <w:pPr>
              <w:spacing w:after="0"/>
              <w:rPr>
                <w:sz w:val="1"/>
                <w:szCs w:val="1"/>
                <w:color w:val="auto"/>
              </w:rPr>
            </w:pPr>
          </w:p>
        </w:tc>
      </w:tr>
      <w:tr>
        <w:trPr>
          <w:trHeight w:val="23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TPH and RPH Units</w:t>
            </w:r>
          </w:p>
        </w:tc>
        <w:tc>
          <w:tcPr>
            <w:tcW w:w="15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TPH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RPH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TPH and RPH Units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Units and Class A Common Stock</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0" w:type="dxa"/>
            <w:vAlign w:val="bottom"/>
          </w:tcPr>
          <w:p>
            <w:pPr>
              <w:spacing w:after="0"/>
              <w:rPr>
                <w:sz w:val="1"/>
                <w:szCs w:val="1"/>
                <w:color w:val="auto"/>
              </w:rPr>
            </w:pPr>
          </w:p>
        </w:tc>
      </w:tr>
      <w:tr>
        <w:trPr>
          <w:trHeight w:val="257"/>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Common Units and Class A Common Stock</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TPH and RPH Units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accounts for the TPH Units and RPH Units as compensation expense in accordance with ASC 718. The unvested TPH and RPH Units are recognized as equity-based compensation subject to primarily service vesting conditions and in certain cases performance conditions, some of which are deemed probable of achieving. The Company recognized compensation expense of $64.4 million and $58.7 million for the three months ended March 31, 2026 and 2025, respectively. There is no additional dilution to our stockholders related to these interests. Contractually these units are only related to non-controlling interest holders of the TPG Operating Group, and there is no impact to the allocation of income and distributions to TPG Inc. Therefore, the Company has allocated these expense amounts to its non-controlling interest holders.</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TPH Units and RPH Units for the three months ended March 31, 2026 (units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5"/>
          </w:tcPr>
          <w:p>
            <w:pPr>
              <w:ind w:left="1240"/>
              <w:spacing w:after="0"/>
              <w:rPr>
                <w:sz w:val="20"/>
                <w:szCs w:val="20"/>
                <w:color w:val="auto"/>
              </w:rPr>
            </w:pPr>
            <w:r>
              <w:rPr>
                <w:rFonts w:ascii="Times New Roman" w:cs="Times New Roman" w:eastAsia="Times New Roman" w:hAnsi="Times New Roman"/>
                <w:sz w:val="16"/>
                <w:szCs w:val="16"/>
                <w:b w:val="1"/>
                <w:bCs w:val="1"/>
                <w:color w:val="auto"/>
              </w:rPr>
              <w:t>TPH Units</w:t>
            </w:r>
          </w:p>
        </w:tc>
        <w:tc>
          <w:tcPr>
            <w:tcW w:w="3220" w:type="dxa"/>
            <w:vAlign w:val="bottom"/>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RPH Units</w:t>
            </w: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158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00" w:type="dxa"/>
            <w:vAlign w:val="bottom"/>
          </w:tcPr>
          <w:p>
            <w:pPr>
              <w:spacing w:after="0"/>
              <w:rPr>
                <w:sz w:val="13"/>
                <w:szCs w:val="13"/>
                <w:color w:val="auto"/>
              </w:rPr>
            </w:pPr>
          </w:p>
        </w:tc>
        <w:tc>
          <w:tcPr>
            <w:tcW w:w="156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57"/>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forfeited TPH Units were reallocated to certain existing unit holders in accordance with the applicable governing documents. The grant date fair value of the reallocated awards was determined based on the fair value of TPG’s common stock at the time of reallocation. As of March 31, 2026, there was approximately $384.4 million of total estimated unrecognized compensation expense related to outstanding unvested awards, of which TPH Units and RPH Units represented $353.3 million and $31.1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Common Units and Class A Common Stock</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ASC 718, all Other Awards are also recognized as equity-based compensation. The Company recognized compensation expense of $85.5 million and $52.7 million for the three months ended March 31, 2026 and 2025, respectively. As TPG Operating Group holders would accrete pro-rata or benefit directly upon forfeiture of those awards, this compensation expense was allocated pro-rata to all controlling and non-controlling interest holders of TPG Inc.</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TOG Units and Class A Common Stock Awards for the three months ended March 31, 2026 (awards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200" w:type="dxa"/>
            <w:vAlign w:val="bottom"/>
            <w:tcBorders>
              <w:bottom w:val="single" w:sz="8" w:color="auto"/>
            </w:tcBorders>
            <w:gridSpan w:val="5"/>
          </w:tcPr>
          <w:p>
            <w:pPr>
              <w:jc w:val="right"/>
              <w:ind w:right="1491"/>
              <w:spacing w:after="0"/>
              <w:rPr>
                <w:sz w:val="20"/>
                <w:szCs w:val="20"/>
                <w:color w:val="auto"/>
              </w:rPr>
            </w:pPr>
            <w:r>
              <w:rPr>
                <w:rFonts w:ascii="Times New Roman" w:cs="Times New Roman" w:eastAsia="Times New Roman" w:hAnsi="Times New Roman"/>
                <w:sz w:val="16"/>
                <w:szCs w:val="16"/>
                <w:b w:val="1"/>
                <w:bCs w:val="1"/>
                <w:color w:val="auto"/>
              </w:rPr>
              <w:t>Common Units</w:t>
            </w:r>
          </w:p>
        </w:tc>
      </w:tr>
      <w:tr>
        <w:trPr>
          <w:trHeight w:val="211"/>
        </w:trPr>
        <w:tc>
          <w:tcPr>
            <w:tcW w:w="70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29"/>
        </w:trPr>
        <w:tc>
          <w:tcPr>
            <w:tcW w:w="8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29"/>
        </w:trPr>
        <w:tc>
          <w:tcPr>
            <w:tcW w:w="8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r>
      <w:tr>
        <w:trPr>
          <w:trHeight w:val="21"/>
        </w:trPr>
        <w:tc>
          <w:tcPr>
            <w:tcW w:w="70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unrecognized compensation expense related to outstanding unvested awards as of March 31, 2026 was $713.6 million.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Liability Classified Awards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discussed in Note 3, the Company granted liability-classified Common Unit awards to certain Peppertree Parties in conjunction with the acquisition of Peppertree, which are considered liability-classified awards under ASC 718. The awards require both continuous service over an estimated period of five years and satisfaction of certain fee-related revenue targets during the period beginning on January 1, 2028 and ending on December 31, 2028 and certain fundraising targets. These liability-classified awards will be settled with a variable number of both vested and unvested Common Units upon the satisfaction of the fee-related revenue targets and do not participate in TPG Operating Group distributions before settlement. For the three months ended March 31, 2026, the Company recognized compensation expense of $11.6 million related to these liability-classified awards with a corresponding increase in other liabilities.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conjunction with the acquisition of Angelo Gordon, the Company granted liability-classified Common Unit awards to Angelo Gordon partners. Those awards represent the compensatory portion of the Earnout Payment under ASC 718 and as such, require both continuous service over a period of five years and the satisfaction of fee-related revenue targets during the period beginning on January 1, 2026 and ending on December 31, 2026. These liability-classified awards will be settled with a variable number of both vested and unvested Common Units upon the satisfaction of the fee-related revenue targets and do not participate in TPG Operating Group distributions before settlement. During 2025, the Company determined that it is not probable the Company will need to settle the Earnout Payment. Accordingly, the Company did not record any compensation expense related to its liability-classified awards for the three months ended March 31, 2026. For the three months ended March 31, 2025, the Company recognized compensation expense of $9.9 million related to its liability-classified awards with a corresponding increase in other liabilities.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liability-classified awards discussed above will be remeasured every reporting period and are based on the satisfaction of the respective fee-related revenue and fundraising targets, if applicable. Compensation expense for these awards are recognized using the accelerated attribution method on a tranche-by-tranche basis. Total unrecognized compensation expense related to these awards as of March 31, 2026 was $131.2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TRTX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employees of the Company receive awards (“TRTX Awards”) from TPG RE Finance Trust, Inc. (“TRTX”), a publicly traded real estate investment trust, externally managed and advised by TPG RE Finance Trust Management, L.P., a wholly-owned subsidiary of the Company, for services provided to TRTX. Generally, the TRTX Awards vest over four years for employees and at grant date for directors of TRTX.</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TRTX Awards granted to certain employees of the Company are recorded in other assets and due to affiliates in the Condensed Consolidated Statements of Financial Condition. The grant date fair value of the asset is amortized on a straight-line basis over the vesting period as equity-based compensation expense, which is offset by corresponding other investment income (reported in interest, dividends and other) earned by the Company from TRTX. During the three months ended March 31, 2026 and 2025, the Company recognized $0.5 million and $1.3 million, respectively, of equity-based compensation expense and the related investment income in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has three classes of common stock outstanding, Class A common stock, nonvoting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have the same rights and privileges as, rank equally and share ratably with, and are identical in all respects as to all matters to, the Class A common stock, except that the nonvoting Class A common stock have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As of March 31, 2026, 153,715,203 shares of Class A common stock and 6,605,963 shares of nonvoting Class A common stock were outstanding, 223,852,327 shares of Class B common stock were outstanding, and there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no shares of preferred stock outstanding.</w:t>
      </w:r>
    </w:p>
    <w:p>
      <w:pPr>
        <w:spacing w:after="0" w:line="225"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described in Note 4, the Company issued 2,279,109 shares of Class A common stock to a subsidiary of Jackson. The Company determined that the Class A shares issued were not in exchange for a distinct good or service and therefore determined that the shares issued to the customer represents a reduction of transaction price. Accordingly, the Company recognized the issuance of the Class A shares within other assets on the Company’s Condensed Consolidated Statements of Financial Condition which will be amortized as a reduction of fees and other in the Company’s Condensed Consolidated Statements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Dividends and distributions are reflected in the Condensed Consolidated Statements of Changes in Equity when declared by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are made to Class A common stockholders and distributions are made to holders of non-controlling interests in subsidiaries.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Class A common stock, which were made at the sole discretion of the Board of Directors of the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8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per Class A Common Share</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19, 2025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 2025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6, 2025</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18, 2025</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 2025</w:t>
            </w: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4, 2025</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14, 2025</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w:t>
            </w:r>
          </w:p>
        </w:tc>
        <w:tc>
          <w:tcPr>
            <w:tcW w:w="1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5, 2026</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55"/>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2025 Dividend Year</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2025)</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2026</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11, 2026</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2026</w:t>
            </w:r>
          </w:p>
        </w:tc>
        <w:tc>
          <w:tcPr>
            <w:tcW w:w="124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156"/>
        </w:trPr>
        <w:tc>
          <w:tcPr>
            <w:tcW w:w="2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2026 Dividend Year</w:t>
            </w: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Q1 2026)</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Exchanges of Common Units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certain holders of Common Units, including certain partners and employees, are authorized to exchange Common Units for an equal number of shares of Class A common stock. During the three months ended March 31, 2025, certain holders of Common Units exchanged Common Units for an equal number of shares of Class A common stock resulting in the issuance of shares of Class A common stock and the cancellation of an equal number of shares of Class B common stock for no additional consideration. Such issuances of shares of Class A common stock to such holders of Common Units were registered pursuant to the Company’s registration statements on Form S-3 filed on November 2, 2023 and September 13, 2024. During the three months ended March 31, 2026, there were no Common Units exchanged for Class A common stock.</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supplemental non-cash financing activities related to equity for the Condensed Consolidated Statements of Cash Flows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21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Pr>
          <w:p>
            <w:pPr>
              <w:spacing w:after="0"/>
              <w:rPr>
                <w:sz w:val="18"/>
                <w:szCs w:val="18"/>
                <w:color w:val="auto"/>
              </w:rPr>
            </w:pPr>
          </w:p>
        </w:tc>
      </w:tr>
      <w:tr>
        <w:trPr>
          <w:trHeight w:val="225"/>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holders of non-controlling interests</w:t>
            </w:r>
          </w:p>
        </w:tc>
        <w:tc>
          <w:tcPr>
            <w:tcW w:w="1300" w:type="dxa"/>
            <w:vAlign w:val="bottom"/>
            <w:tcBorders>
              <w:top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35,679</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146,402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130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130,619</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holders of other non-controlling interests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Deconsolidation of previously consolidated entities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496,984</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connection with Jackson Transaction</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113,203</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than the events noted in the footnotes to the Condensed Consolidated Financial Statements, there have been no additional events since March 31, 2026 that require recognition or disclosure in the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but are not limited to, those identified below and elsewhere in this report, particularly in “Cautionary Note Regarding Forward-Looking Statements,” and “Item 1A.—Risk Factors” and should be read in conjunction with our Annual Report on Form 10-K for the year ended December 31, 2025 filed with the SEC on February 17, 2026. We assume no obligation to update any of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is a leading global alternative asset manager with $306.2 billion in assets under management (“AUM”) as of March 31, 2026. We have built our firm through years of successful innovation and growth, and believe that we have delivered attractive risk-adjusted returns to our clients and established a premier investment business focused on the fastest-growing segments of the alternative asset management industry. We believe our distinctive business approach and diversified array of innovative investment platforms position us well to continue generating highly profitable, sustainable growth.</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offer a broad range of investment strategies across the alternative asset management landscape, primarily in private equity, credit and real estate, and have constructed a high-quality base of assets under management within attractive sub-segments of these asset classes. The strength of our investment performance and our proven ability to innovate within our business, together with our ongoing focus on strategic, inorganic growth has led to consistent historical increase in our assets under management, all with the support of a scaled infrastructure that provides our business with a high degree of operating leverage.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differentiated operating model unites our investment products and global footprint around a cohesive commercial framework. Our team-oriented culture fosters collaboration and alignment, supports our shared investment themes approach to sourcing and executing deals and leads to attractive returns for our investors. Through multiple decades of experience, we have developed an ecosystem of insight, engagement and collaboration across our platforms and products, which currently include more than 400 active portfolio companies, approximately 300 real estate properties and over 6,500 credit positions, across more than 33 countries.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firm consists of six multi-strategy investment platforms: (1) Capital, (2) Growth, (3) Impact, (4) Credit, (5) Real Estate and (6) Market Solutions. Each of our six investment platforms is comprised of a number of products that are complementary to each other and provide our clients with differentiated avenues for capital deployment. Most of our products have raised multiple generations of funds, which we believe highlights the value these products provide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520" w:type="dxa"/>
            <w:vAlign w:val="bottom"/>
            <w:tcBorders>
              <w:left w:val="single" w:sz="8" w:color="093A5B"/>
            </w:tcBorders>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Capital</w:t>
            </w:r>
          </w:p>
        </w:tc>
        <w:tc>
          <w:tcPr>
            <w:tcW w:w="1660" w:type="dxa"/>
            <w:vAlign w:val="bottom"/>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rPr>
              <w:t>Growth</w:t>
            </w:r>
          </w:p>
        </w:tc>
        <w:tc>
          <w:tcPr>
            <w:tcW w:w="1420" w:type="dxa"/>
            <w:vAlign w:val="bottom"/>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rPr>
              <w:t>Impact</w:t>
            </w:r>
          </w:p>
        </w:tc>
        <w:tc>
          <w:tcPr>
            <w:tcW w:w="1600" w:type="dxa"/>
            <w:vAlign w:val="bottom"/>
            <w:shd w:val="clear" w:color="auto" w:fill="093A5B"/>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Credit</w:t>
            </w:r>
          </w:p>
        </w:tc>
        <w:tc>
          <w:tcPr>
            <w:tcW w:w="1980" w:type="dxa"/>
            <w:vAlign w:val="bottom"/>
            <w:gridSpan w:val="2"/>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rPr>
              <w:t>Real Estate</w:t>
            </w:r>
          </w:p>
        </w:tc>
        <w:tc>
          <w:tcPr>
            <w:tcW w:w="1520" w:type="dxa"/>
            <w:vAlign w:val="bottom"/>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rPr>
              <w:t>Market Solutions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540" w:type="dxa"/>
            <w:vAlign w:val="bottom"/>
            <w:shd w:val="clear" w:color="auto" w:fill="DBDBDB"/>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Focused on large</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Flexible investing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Leading global</w:t>
            </w: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Platform focused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DBDBDB"/>
          </w:tcPr>
          <w:p>
            <w:pPr>
              <w:spacing w:after="0"/>
              <w:rPr>
                <w:sz w:val="14"/>
                <w:szCs w:val="14"/>
                <w:color w:val="auto"/>
              </w:rPr>
            </w:pPr>
          </w:p>
        </w:tc>
        <w:tc>
          <w:tcPr>
            <w:tcW w:w="15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impact investing</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Diversified solutions</w:t>
            </w: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DBDBDB"/>
          </w:tcPr>
          <w:p>
            <w:pPr>
              <w:spacing w:after="0"/>
              <w:rPr>
                <w:sz w:val="7"/>
                <w:szCs w:val="7"/>
                <w:color w:val="auto"/>
              </w:rPr>
            </w:pPr>
          </w:p>
        </w:tc>
        <w:tc>
          <w:tcPr>
            <w:tcW w:w="15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scale, control / co-</w:t>
            </w:r>
          </w:p>
        </w:tc>
        <w:tc>
          <w:tcPr>
            <w:tcW w:w="16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platform focused on</w:t>
            </w:r>
          </w:p>
        </w:tc>
        <w:tc>
          <w:tcPr>
            <w:tcW w:w="14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platform pursuing</w:t>
            </w:r>
          </w:p>
        </w:tc>
        <w:tc>
          <w:tcPr>
            <w:tcW w:w="1600" w:type="dxa"/>
            <w:vAlign w:val="bottom"/>
            <w:vMerge w:val="continue"/>
          </w:tcPr>
          <w:p>
            <w:pPr>
              <w:spacing w:after="0"/>
              <w:rPr>
                <w:sz w:val="7"/>
                <w:szCs w:val="7"/>
                <w:color w:val="auto"/>
              </w:rPr>
            </w:pPr>
          </w:p>
        </w:tc>
        <w:tc>
          <w:tcPr>
            <w:tcW w:w="198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Multi-product, diversified</w:t>
            </w:r>
          </w:p>
        </w:tc>
        <w:tc>
          <w:tcPr>
            <w:tcW w:w="15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leveraging the TPG</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DBDBDB"/>
          </w:tcPr>
          <w:p>
            <w:pPr>
              <w:spacing w:after="0"/>
              <w:rPr>
                <w:sz w:val="7"/>
                <w:szCs w:val="7"/>
                <w:color w:val="auto"/>
              </w:rPr>
            </w:pPr>
          </w:p>
        </w:tc>
        <w:tc>
          <w:tcPr>
            <w:tcW w:w="152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across a wide range of</w:t>
            </w:r>
          </w:p>
        </w:tc>
        <w:tc>
          <w:tcPr>
            <w:tcW w:w="1980" w:type="dxa"/>
            <w:vAlign w:val="bottom"/>
            <w:gridSpan w:val="2"/>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DBDBDB"/>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control and thematic</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rapidly growing</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societal benefits &amp;</w:t>
            </w:r>
          </w:p>
        </w:tc>
        <w:tc>
          <w:tcPr>
            <w:tcW w:w="1600" w:type="dxa"/>
            <w:vAlign w:val="bottom"/>
            <w:vMerge w:val="continue"/>
          </w:tcPr>
          <w:p>
            <w:pPr>
              <w:spacing w:after="0"/>
              <w:rPr>
                <w:sz w:val="14"/>
                <w:szCs w:val="14"/>
                <w:color w:val="auto"/>
              </w:rPr>
            </w:pPr>
          </w:p>
        </w:tc>
        <w:tc>
          <w:tcPr>
            <w:tcW w:w="19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real estate investing platform</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ecosystem to address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DBDBDB"/>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investments</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businesses</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financial returns</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credit opportunities</w:t>
            </w: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market opportunities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Platforms</w:t>
            </w:r>
          </w:p>
        </w:tc>
        <w:tc>
          <w:tcPr>
            <w:tcW w:w="1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at scale</w:t>
            </w:r>
          </w:p>
        </w:tc>
        <w:tc>
          <w:tcPr>
            <w:tcW w:w="1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54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DDDDD"/>
            </w:tcBorders>
          </w:tcPr>
          <w:p>
            <w:pPr>
              <w:spacing w:after="0"/>
              <w:rPr>
                <w:sz w:val="17"/>
                <w:szCs w:val="17"/>
                <w:color w:val="auto"/>
              </w:rPr>
            </w:pPr>
          </w:p>
        </w:tc>
        <w:tc>
          <w:tcPr>
            <w:tcW w:w="1660" w:type="dxa"/>
            <w:vAlign w:val="bottom"/>
            <w:tcBorders>
              <w:bottom w:val="single" w:sz="8" w:color="DDDDDD"/>
            </w:tcBorders>
          </w:tcPr>
          <w:p>
            <w:pPr>
              <w:spacing w:after="0"/>
              <w:rPr>
                <w:sz w:val="17"/>
                <w:szCs w:val="17"/>
                <w:color w:val="auto"/>
              </w:rPr>
            </w:pPr>
          </w:p>
        </w:tc>
        <w:tc>
          <w:tcPr>
            <w:tcW w:w="1420" w:type="dxa"/>
            <w:vAlign w:val="bottom"/>
            <w:tcBorders>
              <w:bottom w:val="single" w:sz="8" w:color="DDDDDD"/>
            </w:tcBorders>
          </w:tcPr>
          <w:p>
            <w:pPr>
              <w:spacing w:after="0"/>
              <w:rPr>
                <w:sz w:val="17"/>
                <w:szCs w:val="17"/>
                <w:color w:val="auto"/>
              </w:rPr>
            </w:pPr>
          </w:p>
        </w:tc>
        <w:tc>
          <w:tcPr>
            <w:tcW w:w="1600" w:type="dxa"/>
            <w:vAlign w:val="bottom"/>
            <w:tcBorders>
              <w:bottom w:val="single" w:sz="8" w:color="DDDDDD"/>
            </w:tcBorders>
          </w:tcPr>
          <w:p>
            <w:pPr>
              <w:spacing w:after="0"/>
              <w:rPr>
                <w:sz w:val="17"/>
                <w:szCs w:val="17"/>
                <w:color w:val="auto"/>
              </w:rPr>
            </w:pPr>
          </w:p>
        </w:tc>
        <w:tc>
          <w:tcPr>
            <w:tcW w:w="1980" w:type="dxa"/>
            <w:vAlign w:val="bottom"/>
            <w:tcBorders>
              <w:bottom w:val="single" w:sz="8" w:color="DDDDDD"/>
            </w:tcBorders>
            <w:gridSpan w:val="2"/>
          </w:tcPr>
          <w:p>
            <w:pPr>
              <w:spacing w:after="0"/>
              <w:rPr>
                <w:sz w:val="17"/>
                <w:szCs w:val="17"/>
                <w:color w:val="auto"/>
              </w:rPr>
            </w:pPr>
          </w:p>
        </w:tc>
        <w:tc>
          <w:tcPr>
            <w:tcW w:w="152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1540" w:type="dxa"/>
            <w:vAlign w:val="bottom"/>
            <w:shd w:val="clear" w:color="auto" w:fill="DBDBDB"/>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$89.7 billion</w:t>
            </w:r>
          </w:p>
        </w:tc>
        <w:tc>
          <w:tcPr>
            <w:tcW w:w="166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w w:val="99"/>
              </w:rPr>
              <w:t>$32.4 billion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$31.6 billion</w:t>
            </w:r>
          </w:p>
        </w:tc>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$95.2 billion</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$39.2 billion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 billion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DBDBDB"/>
          </w:tcPr>
          <w:p>
            <w:pPr>
              <w:spacing w:after="0"/>
              <w:rPr>
                <w:sz w:val="7"/>
                <w:szCs w:val="7"/>
                <w:color w:val="auto"/>
              </w:rPr>
            </w:pPr>
          </w:p>
        </w:tc>
        <w:tc>
          <w:tcPr>
            <w:tcW w:w="1520" w:type="dxa"/>
            <w:vAlign w:val="bottom"/>
            <w:vMerge w:val="continue"/>
          </w:tcPr>
          <w:p>
            <w:pPr>
              <w:spacing w:after="0"/>
              <w:rPr>
                <w:sz w:val="7"/>
                <w:szCs w:val="7"/>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760" w:type="dxa"/>
            <w:vAlign w:val="bottom"/>
          </w:tcPr>
          <w:p>
            <w:pPr>
              <w:spacing w:after="0"/>
              <w:rPr>
                <w:sz w:val="7"/>
                <w:szCs w:val="7"/>
                <w:color w:val="auto"/>
              </w:rPr>
            </w:pPr>
          </w:p>
        </w:tc>
        <w:tc>
          <w:tcPr>
            <w:tcW w:w="1220" w:type="dxa"/>
            <w:vAlign w:val="bottom"/>
            <w:vMerge w:val="restart"/>
          </w:tcPr>
          <w:p>
            <w:pPr>
              <w:jc w:val="center"/>
              <w:ind w:right="678"/>
              <w:spacing w:after="0"/>
              <w:rPr>
                <w:sz w:val="20"/>
                <w:szCs w:val="20"/>
                <w:color w:val="auto"/>
              </w:rPr>
            </w:pPr>
            <w:r>
              <w:rPr>
                <w:rFonts w:ascii="Times New Roman" w:cs="Times New Roman" w:eastAsia="Times New Roman" w:hAnsi="Times New Roman"/>
                <w:sz w:val="18"/>
                <w:szCs w:val="18"/>
                <w:color w:val="auto"/>
                <w:w w:val="99"/>
              </w:rPr>
              <w:t>AUM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DBDBDB"/>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166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DBDBDB"/>
          </w:tcPr>
          <w:p>
            <w:pPr>
              <w:spacing w:after="0"/>
              <w:rPr>
                <w:sz w:val="7"/>
                <w:szCs w:val="7"/>
                <w:color w:val="auto"/>
              </w:rPr>
            </w:pPr>
          </w:p>
        </w:tc>
        <w:tc>
          <w:tcPr>
            <w:tcW w:w="152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DBDBDB"/>
          </w:tcPr>
          <w:p>
            <w:pPr>
              <w:spacing w:after="0"/>
              <w:rPr>
                <w:sz w:val="21"/>
                <w:szCs w:val="21"/>
                <w:color w:val="auto"/>
              </w:rPr>
            </w:pPr>
          </w:p>
        </w:tc>
        <w:tc>
          <w:tcPr>
            <w:tcW w:w="1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540" w:type="dxa"/>
            <w:vAlign w:val="bottom"/>
            <w:tcBorders>
              <w:bottom w:val="single" w:sz="8" w:color="DDDDDD"/>
            </w:tcBorders>
          </w:tcPr>
          <w:p>
            <w:pPr>
              <w:spacing w:after="0"/>
              <w:rPr>
                <w:sz w:val="14"/>
                <w:szCs w:val="14"/>
                <w:color w:val="auto"/>
              </w:rPr>
            </w:pPr>
          </w:p>
        </w:tc>
        <w:tc>
          <w:tcPr>
            <w:tcW w:w="1520" w:type="dxa"/>
            <w:vAlign w:val="bottom"/>
            <w:tcBorders>
              <w:bottom w:val="single" w:sz="8" w:color="DDDDDD"/>
            </w:tcBorders>
          </w:tcPr>
          <w:p>
            <w:pPr>
              <w:spacing w:after="0"/>
              <w:rPr>
                <w:sz w:val="14"/>
                <w:szCs w:val="14"/>
                <w:color w:val="auto"/>
              </w:rPr>
            </w:pPr>
          </w:p>
        </w:tc>
        <w:tc>
          <w:tcPr>
            <w:tcW w:w="1660" w:type="dxa"/>
            <w:vAlign w:val="bottom"/>
            <w:tcBorders>
              <w:bottom w:val="single" w:sz="8" w:color="DDDDDD"/>
            </w:tcBorders>
          </w:tcPr>
          <w:p>
            <w:pPr>
              <w:spacing w:after="0"/>
              <w:rPr>
                <w:sz w:val="14"/>
                <w:szCs w:val="14"/>
                <w:color w:val="auto"/>
              </w:rPr>
            </w:pPr>
          </w:p>
        </w:tc>
        <w:tc>
          <w:tcPr>
            <w:tcW w:w="1420" w:type="dxa"/>
            <w:vAlign w:val="bottom"/>
            <w:tcBorders>
              <w:bottom w:val="single" w:sz="8" w:color="DDDDDD"/>
            </w:tcBorders>
          </w:tcPr>
          <w:p>
            <w:pPr>
              <w:spacing w:after="0"/>
              <w:rPr>
                <w:sz w:val="14"/>
                <w:szCs w:val="14"/>
                <w:color w:val="auto"/>
              </w:rPr>
            </w:pPr>
          </w:p>
        </w:tc>
        <w:tc>
          <w:tcPr>
            <w:tcW w:w="1600" w:type="dxa"/>
            <w:vAlign w:val="bottom"/>
            <w:tcBorders>
              <w:bottom w:val="single" w:sz="8" w:color="DDDDDD"/>
            </w:tcBorders>
          </w:tcPr>
          <w:p>
            <w:pPr>
              <w:spacing w:after="0"/>
              <w:rPr>
                <w:sz w:val="14"/>
                <w:szCs w:val="14"/>
                <w:color w:val="auto"/>
              </w:rPr>
            </w:pPr>
          </w:p>
        </w:tc>
        <w:tc>
          <w:tcPr>
            <w:tcW w:w="760" w:type="dxa"/>
            <w:vAlign w:val="bottom"/>
            <w:tcBorders>
              <w:bottom w:val="single" w:sz="8" w:color="DDDDDD"/>
            </w:tcBorders>
          </w:tcPr>
          <w:p>
            <w:pPr>
              <w:spacing w:after="0"/>
              <w:rPr>
                <w:sz w:val="14"/>
                <w:szCs w:val="14"/>
                <w:color w:val="auto"/>
              </w:rPr>
            </w:pPr>
          </w:p>
        </w:tc>
        <w:tc>
          <w:tcPr>
            <w:tcW w:w="1220" w:type="dxa"/>
            <w:vAlign w:val="bottom"/>
            <w:tcBorders>
              <w:bottom w:val="single" w:sz="8" w:color="DDDDDD"/>
            </w:tcBorders>
          </w:tcPr>
          <w:p>
            <w:pPr>
              <w:spacing w:after="0"/>
              <w:rPr>
                <w:sz w:val="14"/>
                <w:szCs w:val="14"/>
                <w:color w:val="auto"/>
              </w:rPr>
            </w:pPr>
          </w:p>
        </w:tc>
        <w:tc>
          <w:tcPr>
            <w:tcW w:w="15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shd w:val="clear" w:color="auto" w:fill="DBDBDB"/>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TPG Capital</w:t>
            </w: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TPG Growth</w:t>
            </w: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The Rise Funds</w:t>
            </w:r>
          </w:p>
        </w:tc>
        <w:tc>
          <w:tcPr>
            <w:tcW w:w="16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TPG Credit Solutions</w:t>
            </w:r>
          </w:p>
        </w:tc>
        <w:tc>
          <w:tcPr>
            <w:tcW w:w="760" w:type="dxa"/>
            <w:vAlign w:val="bottom"/>
          </w:tcPr>
          <w:p>
            <w:pPr>
              <w:jc w:val="center"/>
              <w:ind w:left="158"/>
              <w:spacing w:after="0" w:line="155" w:lineRule="exact"/>
              <w:rPr>
                <w:sz w:val="20"/>
                <w:szCs w:val="20"/>
                <w:color w:val="auto"/>
              </w:rPr>
            </w:pPr>
            <w:r>
              <w:rPr>
                <w:rFonts w:ascii="Times New Roman" w:cs="Times New Roman" w:eastAsia="Times New Roman" w:hAnsi="Times New Roman"/>
                <w:sz w:val="16"/>
                <w:szCs w:val="16"/>
                <w:color w:val="auto"/>
              </w:rPr>
              <w:t>TREP</w:t>
            </w:r>
          </w:p>
        </w:tc>
        <w:tc>
          <w:tcPr>
            <w:tcW w:w="1220" w:type="dxa"/>
            <w:vAlign w:val="bottom"/>
          </w:tcPr>
          <w:p>
            <w:pPr>
              <w:jc w:val="center"/>
              <w:ind w:left="98"/>
              <w:spacing w:after="0" w:line="155" w:lineRule="exact"/>
              <w:rPr>
                <w:sz w:val="20"/>
                <w:szCs w:val="20"/>
                <w:color w:val="auto"/>
              </w:rPr>
            </w:pPr>
            <w:r>
              <w:rPr>
                <w:rFonts w:ascii="Times New Roman" w:cs="Times New Roman" w:eastAsia="Times New Roman" w:hAnsi="Times New Roman"/>
                <w:sz w:val="16"/>
                <w:szCs w:val="16"/>
                <w:color w:val="auto"/>
              </w:rPr>
              <w:t>TPG AG U.S.</w:t>
            </w: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TPG GP Solutions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DBDBDB"/>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center"/>
              <w:ind w:left="98"/>
              <w:spacing w:after="0"/>
              <w:rPr>
                <w:sz w:val="20"/>
                <w:szCs w:val="20"/>
                <w:color w:val="auto"/>
              </w:rPr>
            </w:pPr>
            <w:r>
              <w:rPr>
                <w:rFonts w:ascii="Times New Roman" w:cs="Times New Roman" w:eastAsia="Times New Roman" w:hAnsi="Times New Roman"/>
                <w:sz w:val="16"/>
                <w:szCs w:val="16"/>
                <w:color w:val="auto"/>
                <w:w w:val="99"/>
              </w:rPr>
              <w:t>Real Estate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1540" w:type="dxa"/>
            <w:vAlign w:val="bottom"/>
            <w:shd w:val="clear" w:color="auto" w:fill="DBDBDB"/>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Healthcare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Tech Adjacencies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Rise Climate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Direct Lending</w:t>
            </w:r>
          </w:p>
        </w:tc>
        <w:tc>
          <w:tcPr>
            <w:tcW w:w="76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auto"/>
                <w:w w:val="99"/>
              </w:rPr>
              <w:t>TRECO</w:t>
            </w: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TPG AG</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NewQuest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540" w:type="dxa"/>
            <w:vAlign w:val="bottom"/>
            <w:shd w:val="clear" w:color="auto" w:fill="DBDBDB"/>
          </w:tcPr>
          <w:p>
            <w:pPr>
              <w:spacing w:after="0"/>
              <w:rPr>
                <w:sz w:val="15"/>
                <w:szCs w:val="15"/>
                <w:color w:val="auto"/>
              </w:rPr>
            </w:pPr>
          </w:p>
        </w:tc>
        <w:tc>
          <w:tcPr>
            <w:tcW w:w="15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Partners</w:t>
            </w: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jc w:val="center"/>
              <w:ind w:left="118"/>
              <w:spacing w:after="0" w:line="175" w:lineRule="exact"/>
              <w:rPr>
                <w:sz w:val="20"/>
                <w:szCs w:val="20"/>
                <w:color w:val="auto"/>
              </w:rPr>
            </w:pPr>
            <w:r>
              <w:rPr>
                <w:rFonts w:ascii="Times New Roman" w:cs="Times New Roman" w:eastAsia="Times New Roman" w:hAnsi="Times New Roman"/>
                <w:sz w:val="16"/>
                <w:szCs w:val="16"/>
                <w:color w:val="auto"/>
              </w:rPr>
              <w:t>Europe Real</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DBDBDB"/>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w w:val="97"/>
              </w:rPr>
              <w:t>Estate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Asia</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Life Sciences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TRC Transition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Asset Based</w:t>
            </w:r>
          </w:p>
        </w:tc>
        <w:tc>
          <w:tcPr>
            <w:tcW w:w="760" w:type="dxa"/>
            <w:vAlign w:val="bottom"/>
          </w:tcPr>
          <w:p>
            <w:pPr>
              <w:jc w:val="center"/>
              <w:ind w:left="138"/>
              <w:spacing w:after="0"/>
              <w:rPr>
                <w:sz w:val="20"/>
                <w:szCs w:val="20"/>
                <w:color w:val="auto"/>
              </w:rPr>
            </w:pPr>
            <w:r>
              <w:rPr>
                <w:rFonts w:ascii="Times New Roman" w:cs="Times New Roman" w:eastAsia="Times New Roman" w:hAnsi="Times New Roman"/>
                <w:sz w:val="16"/>
                <w:szCs w:val="16"/>
                <w:color w:val="auto"/>
              </w:rPr>
              <w:t>TRTX</w:t>
            </w: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TPG Asia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Peppertree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40" w:type="dxa"/>
            <w:vAlign w:val="bottom"/>
            <w:vMerge w:val="continue"/>
            <w:shd w:val="clear" w:color="auto" w:fill="DBDBDB"/>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Innovations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Infrastructure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Finance</w:t>
            </w:r>
          </w:p>
        </w:tc>
        <w:tc>
          <w:tcPr>
            <w:tcW w:w="760" w:type="dxa"/>
            <w:vAlign w:val="bottom"/>
          </w:tcPr>
          <w:p>
            <w:pPr>
              <w:spacing w:after="0"/>
              <w:rPr>
                <w:sz w:val="18"/>
                <w:szCs w:val="18"/>
                <w:color w:val="auto"/>
              </w:rPr>
            </w:pP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Real Estate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3"/>
        </w:trPr>
        <w:tc>
          <w:tcPr>
            <w:tcW w:w="1540" w:type="dxa"/>
            <w:vAlign w:val="bottom"/>
            <w:shd w:val="clear" w:color="auto" w:fill="DBDBDB"/>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Emerging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TRC Global South</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CLOs</w:t>
            </w:r>
          </w:p>
        </w:tc>
        <w:tc>
          <w:tcPr>
            <w:tcW w:w="76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auto"/>
                <w:w w:val="97"/>
              </w:rPr>
              <w:t>TAC+</w:t>
            </w: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TPG Net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TPG Private Equity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DBDBDB"/>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Companies Asia</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Initiative</w:t>
            </w: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Lease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Opportunities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2"/>
        </w:trPr>
        <w:tc>
          <w:tcPr>
            <w:tcW w:w="1540" w:type="dxa"/>
            <w:vAlign w:val="bottom"/>
            <w:shd w:val="clear" w:color="auto" w:fill="DBDBDB"/>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Sports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NEXT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Multi-Asset</w:t>
            </w: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DBDBDB"/>
            </w:tcBorders>
            <w:shd w:val="clear" w:color="auto" w:fill="DBDBDB"/>
          </w:tcPr>
          <w:p>
            <w:pPr>
              <w:spacing w:after="0"/>
              <w:rPr>
                <w:sz w:val="21"/>
                <w:szCs w:val="21"/>
                <w:color w:val="auto"/>
              </w:rPr>
            </w:pPr>
          </w:p>
        </w:tc>
        <w:tc>
          <w:tcPr>
            <w:tcW w:w="1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Credit</w:t>
            </w: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w w:val="98"/>
              </w:rPr>
              <w:t>_________________</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AUM as of March 31, 2026.</w:t>
            </w: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Platforms</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-2956560</wp:posOffset>
            </wp:positionV>
            <wp:extent cx="8255"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1112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-3505200</wp:posOffset>
            </wp:positionV>
            <wp:extent cx="8255" cy="659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65976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-3505200</wp:posOffset>
            </wp:positionV>
            <wp:extent cx="8890" cy="659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65976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-4465320</wp:posOffset>
            </wp:positionV>
            <wp:extent cx="8890" cy="1619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61988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-4465320</wp:posOffset>
            </wp:positionV>
            <wp:extent cx="8890" cy="1619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61988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-4465320</wp:posOffset>
            </wp:positionV>
            <wp:extent cx="8255" cy="1619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161988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-4465320</wp:posOffset>
            </wp:positionV>
            <wp:extent cx="8255" cy="1619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619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-4585335</wp:posOffset>
            </wp:positionV>
            <wp:extent cx="977265" cy="3943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77265" cy="39433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Capital</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Capital platform is focused on large-scale, control-oriented private equity investments. We pursue opportunities across geographies and specialize in sectors where we have developed deep thematic expertise over time. Our Capital platform funds are organized in three primary products: (1) TPG Capital, (2) TPG Healthcare Partners and (3) TPG Asia.</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Capital platform as of March 31, 2026 (dollars in billions):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$22</w:t>
            </w:r>
          </w:p>
        </w:tc>
      </w:tr>
    </w:tbl>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Product: TPG Capital</w:t>
      </w:r>
    </w:p>
    <w:p>
      <w:pPr>
        <w:spacing w:after="0" w:line="227" w:lineRule="exact"/>
        <w:rPr>
          <w:sz w:val="20"/>
          <w:szCs w:val="20"/>
          <w:color w:val="auto"/>
        </w:rPr>
      </w:pPr>
    </w:p>
    <w:p>
      <w:pPr>
        <w:jc w:val="both"/>
        <w:ind w:right="20" w:firstLine="486"/>
        <w:spacing w:after="0" w:line="256" w:lineRule="auto"/>
        <w:rPr>
          <w:sz w:val="20"/>
          <w:szCs w:val="20"/>
          <w:color w:val="auto"/>
        </w:rPr>
      </w:pPr>
      <w:r>
        <w:rPr>
          <w:rFonts w:ascii="Times New Roman" w:cs="Times New Roman" w:eastAsia="Times New Roman" w:hAnsi="Times New Roman"/>
          <w:sz w:val="18"/>
          <w:szCs w:val="18"/>
          <w:color w:val="auto"/>
        </w:rPr>
        <w:t>TPG Capital is our North America and Europe-focused private equity investing business, with $57.4 billion in assets under management as of March 31, 2026. TPG Capital employs a sector-driven, highly thematic approach to sourcing and primarily seeks to invest in traditional buyouts, transformational deals such as corporate carve-outs and large-scale growth equity transactions. We invest in market leaders with fundamentally strong business models that are expected to benefit from long-term secular growth trends. We also seek to help our portfolio companies accelerate their growth under our ownership through a variety of operational improvements, such as by leveraging our human capital team to upgrade or enhance our management teams and boards, and by investing in organic and inorganic growth.</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Healthcare Partners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established TPG Healthcare Partners (“THP”) in 2019 to pursue healthcare-related investments, primarily in partnership with other TPG funds. THP provides our limited partners with a dedicated healthcare investment platform that touches all areas of healthcare, including providers, payors, pharmaceuticals, medical devices and healthcare technology.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Asia</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was one of the first alternative asset management firms to establish a dedicated Asia franchise and began investing in the region in 1994. Currently, TPG Asia focuses on pursuing investments in the Asia-Pacific region, including Australia, India, Korea and Southeast Asia, with $23.3 billion in assets under management as of March 31, 2026. Our distributed regional footprint has provided a foundation for us to pursue highly attractive investing opportunities in the region with both new and existing products and strategies. We invest through a variety of transaction structures, including through partnerships with large corporations and families.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Growth</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Growth is our dedicated growth equity and middle market investing platform. It provides us with a flexible mandate to invest in companies across our core sectors that are earlier in their life cycle, are smaller in size and/or have different profiles than would be considered for our Capital platform. Our Growth funds are organized in five primary products: (1) TPG Growth, (2) TPG Tech Adjacencies, (3) TPG Life Sciences Innovations, (4) TPG Emerging Companies Asia and (5) TPG Sports.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Growth platform as of March 31,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$6</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Growth</w:t>
      </w:r>
    </w:p>
    <w:p>
      <w:pPr>
        <w:spacing w:after="0" w:line="22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TPG Growth is our dedicated growth equity and middle market investing product, with $18.9 billion in assets under management as of March 31, 2026. TPG Growth seeks to make growth buyout and growth equity investments, primarily in North America and India.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Tech Adjacencies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Tech Adjacencies (“TTAD”), with $8.8 billion in assets under management as of March 31, 2026, is a product we developed organically to pursue minority and/or structured investments in internet, software, digital media and other technology sectors. Specifically, TTAD aims to provide flexible capital for founders, employees and early investors seeking liquidity, as well as primary structured equity solutions for companies looking for additional, creative capital for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Digital Media</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Digital Media (“TDM”) is a flexible source of capital focused on pursuing control equity investments in digital media. TDM seeks to pursue investments in businesses in which we have the opportunity to capitalize on our long history of studying and pursuing content-centric themes.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Life Sciences Innovations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Life Sciences Innovations (“LSI”) was launched in 2023 and seeks to invest in the life sciences sector in novel therapeutics as well as digital health, medical devices, diagnostics and tech-enabled services. LSI invests across different therapeutic areas and stages, from company creation to IPO, and leverages TPG’s broad experience in the healthcare sector.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Emerging Companies Asia</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Emerging Companies Asia (“TECA”) is our new lower-to-middle market growth buyout strategy focused on developed markets in the APAC region, primarily Australia, New Zealand, Southeast Asia and South Korea. TECA leverages our 30-year track record in Asia and deep sector specialization to invest in profitable companies benefitting from regional tailwinds. TECA targets control-oriented transactions, while selectively pursing minority investments.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Product: TPG Sports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Sports is our dedicated strategy focused on pursuing investment opportunities in the sports ecosystem. TPG Sports aims to provide strategic primary capital and business building capabilities to operating companies and technology providers serving the sports market, and to invest in sports IP (i.e., leagues, teams and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Impact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multi-fund Impact platform, which we believe is among the largest in the industry, pursues competitive, non-concessionary financial returns while also providing measurable societal benefits at scale, harnessing the diverse skills of a differentiated group of value-add stakeholders including:</w:t>
      </w:r>
    </w:p>
    <w:p>
      <w:pPr>
        <w:spacing w:after="0" w:line="160" w:lineRule="exact"/>
        <w:rPr>
          <w:sz w:val="20"/>
          <w:szCs w:val="20"/>
          <w:color w:val="auto"/>
        </w:rPr>
      </w:pPr>
    </w:p>
    <w:p>
      <w:pPr>
        <w:ind w:right="20" w:firstLine="494"/>
        <w:spacing w:after="0" w:line="284"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 Analytics: </w:t>
      </w:r>
      <w:r>
        <w:rPr>
          <w:rFonts w:ascii="Times New Roman" w:cs="Times New Roman" w:eastAsia="Times New Roman" w:hAnsi="Times New Roman"/>
          <w:sz w:val="18"/>
          <w:szCs w:val="18"/>
          <w:color w:val="auto"/>
        </w:rPr>
        <w:t>A public benefit organization that is wholly owned by TPG, which functions as TPG’s firm-wide responsible investing and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arm, and among other services, provides impact research and rigorous assessment for impact investments.</w:t>
      </w:r>
    </w:p>
    <w:p>
      <w:pPr>
        <w:spacing w:after="0" w:line="158"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TPG Rise Global Advisory Board: </w:t>
      </w:r>
      <w:r>
        <w:rPr>
          <w:rFonts w:ascii="Times New Roman" w:cs="Times New Roman" w:eastAsia="Times New Roman" w:hAnsi="Times New Roman"/>
          <w:sz w:val="18"/>
          <w:szCs w:val="18"/>
          <w:color w:val="auto"/>
        </w:rPr>
        <w:t>A group of investors experienced with driving social and environmental change and financial returns.</w:t>
      </w:r>
    </w:p>
    <w:p>
      <w:pPr>
        <w:spacing w:after="0" w:line="225" w:lineRule="exact"/>
        <w:rPr>
          <w:rFonts w:ascii="Times New Roman" w:cs="Times New Roman" w:eastAsia="Times New Roman" w:hAnsi="Times New Roman"/>
          <w:sz w:val="18"/>
          <w:szCs w:val="18"/>
          <w:color w:val="auto"/>
        </w:rPr>
      </w:pPr>
    </w:p>
    <w:p>
      <w:pPr>
        <w:jc w:val="both"/>
        <w:ind w:firstLine="494"/>
        <w:spacing w:after="0" w:line="267"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TPG Rise Climate Coalition: </w:t>
      </w:r>
      <w:r>
        <w:rPr>
          <w:rFonts w:ascii="Times New Roman" w:cs="Times New Roman" w:eastAsia="Times New Roman" w:hAnsi="Times New Roman"/>
          <w:sz w:val="18"/>
          <w:szCs w:val="18"/>
          <w:color w:val="auto"/>
        </w:rPr>
        <w:t>A partnership between TPG and 33 leading global enterprises that are investors in TPG Rise Climate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the sharing of knowledge, best practices and investment opportunities arising from the energy transition among the group and more broadly across the TPG Impact platform.</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demonstrated that our impact investments can deliver profit and positive impact in tandem. Our Impact funds are organized in five primary products: (1) The Rise Funds, (2) TPG Rise Climate, (3) TPG Rise Climate Transition Infrastructure, (4) TPG Rise Climate Global South Initiative and (5) TPG NEXT.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Impact platform as of March 31,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$11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The Rise Funds</w:t>
      </w:r>
    </w:p>
    <w:p>
      <w:pPr>
        <w:spacing w:after="0" w:line="21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Rise Funds are our dedicated vehicles for investing globally in companies that generate business performance and strong returns alongside a demonstrable and significant positive societal impact, with $10.3 billion in assets under management as of March 31, 2026. The Rise Funds’ core areas of focus include climate and conservation, education, financial inclusion, food and agriculture, healthcare and impact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Launched in 2021, TPG Rise Climate (“Rise Climate”) is our dedicated climate private equity impact investing product, which has raised $16.2 billion in total commitments. Rise Climate applies TPG’s private equity capabilities to pursue climate-related investments in thematic areas including clean electrons, clean molecules and materials and adaptive solutions, all without sacrificing our focus on financial returns. Rise Climate has a global focus and invests opportunistically across buyouts, carve-outs and growth equity transactions.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 Transition Infrastructure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Rise Climate Transition Infrastructure (“Rise Climate TI”) is our newly formed product focused on investing in infrastructure businesses and assets that we believe have or will have positive climate impact. Rise Climate TI pursues climate-related investments in thematic areas including clean electrons, clean molecules and materials and adaptive solutions, seeking to capture return opportunities between core infrastructure and private equity within the energy transition, green mobility, negative emissions and sustainable fuels sectors.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 Global South Initiative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Rise Climate Global South Initiative (“GSI”) is our sidecar product to TPG Rise Climate and a dedicated pool of capital focused on climate-related investments in countries that are not members of the OECD (such non-OECD countries, collectively, the “Global South”). GSI is an expansion of Rise Climate’s strategy and seeks to direct large-scale capital towards ready-to-scale climate solutions to catalyze their adoption by the Global South, in countries where TPG has an existing footprint and investment track record.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NEXT</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NEXT provides strategic minority capital and custom operational support to help emerging managers establish, build and scale their firms. TPG announced the launch of the inaugural TPG NEXT fund in 2022 to use the power of TPG’s platform—including its capital, network and 30-plus year track record of business building—to accelerate the growth and de-risk the success of the next generation of alternative investment managers. Firms that partner with TPG NEXT gain access to TPG’s network, operational and investment capabilities, and ecosystem to support strategic business building and expansion.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Credit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TPG’s alternative credit products (collectively referred to as “Credit”) are: (1) TPG Credit Solutions, (2) TPG Direct Lending, (3) TPG Asset Based Finance, (4) TPG CLOs and (5) TPG Multi-Asset Credit. Credit’s capabilities span private and tradable credit across corporate and asset-backed markets.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Credit platform as of March 31,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$19</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Credit Solutions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TPG Credit Solutions, with $20.9 billion in assets under management as of March 31, 2026, invests in stressed, distressed and special situation corporate credit opportunities, primarily in North America and Europe, and can dynamically pivot between the public and private markets. TPG Credit Solutions employs what we believe to be a differentiated, solutions-based approach that is capable of being executed in any market environment. TPG Credit Solutions seeks to align with companies, financial sponsors and business owners and to use its structuring skill and flexible capital base to create bespoke, bilaterally-negotiated financing transactions that help resolve complex and idiosyncratic financial challenges. TPG Credit Solutions funds may also opportunistically invest in securities acquired at what the investment team believes are discounted prices relative to their intrinsic value and offer the potential for contractual income and/or price appreciation. TPG Credit Solutions invests through the Credit Solutions, Essential Housing and Hybrid Solutions closed-end funds, as well as the Corporate Credit Opportunities open-ended fund.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Direct Lending</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TPG Direct Lending focuses on sourcing, underwriting and actively managing a diversified portfolio of lower middle market, senior secured loans, including revolvers and first lien debt, and seeks to deliver stable and attractive returns while minimizing volatility and protecting the downside. As a direct lender to private equity backed lower middle market companies primarily with $25.0 million of EBITDA or less, the product focuses on sourcing differentiated opportunities from our long-standing and diverse set of sponsor relationships. TPG Direct Lending includes the TPG AG Middle Market Direct Lending (“MMDL”) closed-end fund series and evergreen vehicle, SMAs, TPG Advantage Direct Lending (“ADL”), as well as a public, non-traded business development company (“BDC”), TPG Twin Brook Capital Income Fund (“TCAP”). As of March 31, 2026, TPG Direct Lending had $31.5 billion in assets under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Asset Based Finance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Asset Based Finance focuses on investment-grade asset-based finance and direct lending, with opportunities to expand through additional strategies over time. TPG Asset Based Finance invests through a variety of vehicles including the Mortgage Value Partners Fund open-ended hedge fund, the Asset Based Credit closed-end fund series and evergreen vehicle, SMAs and TPG Mortgage Investment Trust, Inc. (NYSE: MITT) (“MITT”), which is an externally managed, publicly traded residential mortgage real estate investment trust. As of March 31, 2026, TPG Asset Based Finance had $31.3 billion in assets under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CLOs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CLOs, with $8.8 billion in assets under management as of March 31, 2026, invest predominantly in non-investment grade senior secured bank loans. TPG CLOs investment team consists of members in both New York and London. The U.S. CLOs invest in U.S. dollar-denominated broadly syndicated loans, and the European CLOs invest in Euro-denominated loans and secured bonds. Our global platform allows us to provide our investors with diversification across industries and geographies as we construct well diversified, liquid portfolios that are actively traded. In addition to TPG CLOs, the platform also manages bespoke performing credit vehicles and commingled closed end CLO funds.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Multi-Asset Credit</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Multi-Asset Credit, with $2.7 billion in assets under management as of March 31, 2026, invests across the breadth of Credit, with a geographic focus in the United States and Western Europe. TPG Multi-Asset Credit offers actively managed co-mingled funds, including the Super Fund, which changed its name to Dynamic Credit Income Fund, effective January 1, 2026, in addition to bespoke vehicles and various multi-strategy credit funds-of-one. These funds invest in public and private investment opportunities sourced from across Credit, as well as arbitrage strategies, including convertible arbitrage and merger arbitrage. TPG Multi-Asset Credit funds invest in, among other products, corporate loans and bonds, residential, consumer and asset-based loans and securities, hybrid instruments and derivative securities, including currency and interest rate hedges.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Real Estate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established our real estate investing practice in 2009 to pursue real estate investments systematically and at significant scale. TPG’s real estate products (collectively referred to as “Real Estate”) are (1) TPG Real Estate Partners, (2) TPG Real Estate Thematic Advantage Core-Plus, (3) TPG AG U.S. Real Estate, (4) TPG AG Europe Real Estate, (5) TPG Asia Real Estate, (6) TPG Net Lease, (7) TPG RE Finance Trust, Inc. and (8) TPG Real Estate Credit Opportunities. TPG Real Estate products in the United States, Asia and Europe primarily focus on the acquisition of equity interests of underperforming and undervalued assets, where we can employ our opportunistic and value-add strategies to improve performance. We believe Real Estate’s extensive and proprietary network of operating partners across each of the regions where we operate positions us to effectively identify inefficiencies and source opportunities on an off-market basis. TPG Net Lease primarily invests in single tenant commercial real estate acquired in simultaneous sale-leaseback transactions.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Real Estate platform as of March 31,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$12</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Partners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Real Estate Partners (“TREP”), with $11.6 billion in assets under management as of March 31, 2026, focuses on acquiring and building platforms, which we believe creates more efficient operating structures and ultimately results in scaled investments that may trade at premium entity-level pricing in excess of the net asset value of individual properties. TREP utilizes a distinct theme-based strategy for sourcing and executing proprietary investments and, over time, many of these themes have aligned with TPG’s broader thematic sector expertise, particularly those pertaining to the healthcare and technology sectors.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Thematic Advantage Core-Plus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Real Estate Thematic Advantage Core-Plus (“TAC+”), with $2.5 billion in assets under management as of March 31, 2026, is an extension of our opportunistic real estate investment program. TAC+ targets investments in stabilized (or near stabilized) high-quality real estate, particularly in thematic sectors where we have gained significant experience and conviction. The investment strategy is designed to enhance traditional core-plus objectives of capital preservation and reliable current income generation by applying our differentiated thematic approach, strategy and skillset.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U.S. Real Estate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AG U.S. Real Estate, with $5.7 billion in assets under management as of March 31, 2026, manages assets across various product sectors and has been active in many of the major U.S. real estate markets. TPG AG U.S. Real Estate focuses on purchasing what we believe to be underperforming and undervalued real estate assets, where we then execute an active asset management strategy to reposition and stabilize the properties. TPG AG U.S. Real Estate is diversified across property sectors, with a thematic portfolio construction focused on rental residential, industrial, self-storage, life science, student housing and medical office, among other sectors.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Europe Real Estate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Europe Real Estate, with $5.0 billion in assets under management as of March 31, 2026, manages assets across Europe, with investments primarily located in major cities in Western Europe and the United Kingdom. TPG AG Europe Real Estate focuses on sub-performing and distressed real estate assets. The TPG AG Europe Real Estate portfolio includes industrial, residential, office, hotel, retail, student housing, self-storage and other asset types.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Asia Real Estate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Asia Real Estate, with $5.7 billion in assets under management as of March 31, 2026, manages assets across Asia, with investments primarily in Japan, South Korea, Hong Kong, China and Singapore. TPG Asia Real Estate focuses on capitalizing on opportunistic investments primarily created through situations such as a lack of real estate expertise, illiquidity or distress. The TPG Asia Real Estate portfolio includes office, industrial, residential, hotel, retail, life science and other asset types.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Net Lease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Net Lease, with $2.2 billion in assets under management as of March 31, 2026, focuses on single tenant commercial real estate, generally leased to non-investment grade tenants, largely acquired in simultaneous sale-leaseback transactions. TPG Net Lease primarily purchases existing facilities that are integral to the ongoing operations of the tenants, such as a company’s manufacturing plant or distribution centers. TPG Net Lease manages assets primarily located within the United States, with certain assets in the United Kingdom, Western Europe, Canada and Mexico.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Real Estate Credit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RE Finance Trust, Inc.</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 Finance Trust, Inc. (NYSE: TRTX) (“TRTX”) is externally managed by an affiliate of TPG and directly originates, acquires and manages commercial mortgage loans and other commercial real estate-related debt instruments in North America for its balance sheet. The platform’s objective is to provide attractive risk-adjusted returns to its stockholders over time through cash distributions. As of March 31, 2026, the TRTX loan investment portfolio consisted of 50 first mortgage loans (or interests therein) and total loan commitments of $4.3 billion.</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Real Estate Credit Opportunities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Real Estate Credit Opportunities (“TRECO”), which was established in 2023, is our opportunistic, real estate credit strategy targeting risk-adjusted returns through investments primarily in real estate-related high-yield senior and subordinate loans and securities. TRECO focuses on select sectors and geographies where we have distinct expertise informed by our longstanding practice around theme development. The fund has a flexible mandate and seeks to invest opportunistically across the credit spectrum.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Market Solutions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Market Solutions platform leverages the broader TPG ecosystem to create differentiated products in order to address specific market opportunities.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Market Solutions platform as of March 31,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$3</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GP-led Secondaries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private markets solutions business provides single asset solutions to private asset owners, typically through continuation vehicles, funds or underlying third-party investment managers who will continue to control such assets in which the funds invest. Our private markets solutions business is organized into two businesses: (1) NewQuest and (2) TPG GP Solutions (“TGS”).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NewQuest Capital</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NewQuest seeks to acquire private equity positions on a secondary basis in underlying portfolio companies whose businesses are substantially based in the Asia Pacific region. With $3.1 billion in assets under management as of March 31, 2026, NewQuest is principally focused on complex secondary transactions.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GP Solutions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Established in 2021, TGS was created to invest in high-quality, stable private equity assets, which are principally based in North America and Europe, in partnership with third-party general partners. With $3.7 billion in assets under management as of March 31, 2026, TGS brings a primary private equity approach to the general partner-led secondaries market that leverages the TGS team’s deep investing experience and the insights and expertise of the broader TPG ecosystem.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Private Equity Opportunities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Private Equity Opportunities (“T-POP”) seeks to create an attractive and diversified portfolio of private equity assets primarily through making direct co-investments in transactions executed by TPG’s private equity strategies. Structured as a perpetual investment solution, T-POP accepts fully funded subscriptions monthly and aims to provide limited partners a liquidity option by means of a quarterly redemption program. T-POP launched in June 2025 and as of March 31, 2026, had $1.7 billion in assets under management.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Peppertree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Peppertree was formed in 2004 and acquired by TPG in July 2025. TPG Peppertree specializes in investing in wireless communication towers within the digital infrastructure space. With $7.8 billion in assets under management as of March 31, 2026, TPG Peppertree has made more than 180 investments through ten flagship funds, supporting the construction and acquisition of more than 11,000 wireless communication infrastructure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Capital Markets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dedicated capital markets group centralizes our in-house debt and equity advisory expertise and optimizes capital solutions for our investment professionals and portfolio companies. Primary activities include:</w:t>
      </w:r>
    </w:p>
    <w:p>
      <w:pPr>
        <w:spacing w:after="0" w:line="160" w:lineRule="exact"/>
        <w:rPr>
          <w:sz w:val="20"/>
          <w:szCs w:val="20"/>
          <w:color w:val="auto"/>
        </w:rPr>
      </w:pPr>
    </w:p>
    <w:p>
      <w:pPr>
        <w:jc w:val="both"/>
        <w:ind w:firstLine="494"/>
        <w:spacing w:after="0" w:line="267" w:lineRule="auto"/>
        <w:tabs>
          <w:tab w:leader="none" w:pos="5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Capital Markets: </w:t>
      </w:r>
      <w:r>
        <w:rPr>
          <w:rFonts w:ascii="Times New Roman" w:cs="Times New Roman" w:eastAsia="Times New Roman" w:hAnsi="Times New Roman"/>
          <w:sz w:val="18"/>
          <w:szCs w:val="18"/>
          <w:color w:val="auto"/>
        </w:rPr>
        <w:t>(i) Structure and execute new deal and acquisition financings across leveraged loans, high yield bonds and mezzanine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(privately placed and syndicated) and (ii) manage capital structures on an ongoing basis, including re-financings, re-pricings, hedging, amendments and extensions and other services.</w:t>
      </w:r>
    </w:p>
    <w:p>
      <w:pPr>
        <w:spacing w:after="0" w:line="173" w:lineRule="exact"/>
        <w:rPr>
          <w:rFonts w:ascii="Times New Roman" w:cs="Times New Roman" w:eastAsia="Times New Roman" w:hAnsi="Times New Roman"/>
          <w:sz w:val="18"/>
          <w:szCs w:val="18"/>
          <w:color w:val="auto"/>
        </w:rPr>
      </w:pPr>
    </w:p>
    <w:p>
      <w:pPr>
        <w:jc w:val="both"/>
        <w:ind w:firstLine="494"/>
        <w:spacing w:after="0" w:line="267" w:lineRule="auto"/>
        <w:tabs>
          <w:tab w:leader="none" w:pos="5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Capital Markets: </w:t>
      </w:r>
      <w:r>
        <w:rPr>
          <w:rFonts w:ascii="Times New Roman" w:cs="Times New Roman" w:eastAsia="Times New Roman" w:hAnsi="Times New Roman"/>
          <w:sz w:val="18"/>
          <w:szCs w:val="18"/>
          <w:color w:val="auto"/>
        </w:rPr>
        <w:t>(i) Act as lead advisor and underwriter on capital raises and the monetization of our ownership stakes in the public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including initial public offerings, follow-on offerings, equity-linked products and subsequent realizations and (ii) provide dual-track and structured equity solutions advisory, among other services.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Through our capital markets activities, we generate underwriting, placement, arrangement, structuring and advisory fee revenue. During the three months ended March 31, 2026 and 2025, our capital markets business drove $83.2 million and $61.5 million in transaction revenue, respectively. We believe that the high margin profile of our business coupled with our consistent ability to deliver superior financing outcomes drives significant value to our portfolio companies and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first quarter of 2026 was defined by a pivot toward volatility and defensive positioning by investors. Market sentiment was primarily pressured by the dual threats of an escalating Middle Eastern conflict, which disrupted global energy stability and ignited a commodity rally, alongside deepening concerns regarding the disruptive impact of artificial intelligence on legacy business models. Although the U.S. economy displayed underlying strength through steady growth and a resilient labor market, these geopolitical and structural shocks reignited inflationary pressures, forcing the Federal Reserve to halt its easing cycle and adopt a more hawkish stance. Consequently, a climate of strategic caution prevails as market participants maintain a defensive orientation, seeking greater visibility into the eventual resolution of these intersecting geopolitical, secular and macroeconomic uncertainties.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Equities reversed their positive momentum from recent quarters, with the S&amp;P 500 and Dow Jones Industrial Average declining 4.6% and 3.6%, respectively. Performance diverged sharply by sector: energy, materials and utilities surged 37.2%, 9.3% and 7.5%, respectively, on the back of a commodity rally fueled by the Iran conflict. Conversely, financials, information technology and consumer discretionary lagged with declines of 9.8%, 9.3% and 9.3%, respectively, as investors reassessed valuations amid concerns over artificial intelligence disruption to legacy business models and the potential impact of widening conflict on prices and consumer spending. Global equity indices demonstrated relative resilience, with the MSCI Europe Index declining 1.5% and the MSCI Asia Pacific index falling 0.5%, outperformance largely attributable to their lower exposure to technology and software businesses.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Economic indicators in the first quarter of 2026 reflected the impact of geopolitical disruption and persistent inflation. The Consumer Price Index, which had declined toward 2.6% in early February, reversed course following the Middle Eastern conflict, rising to approximately 3.0% to 3.5% by quarter-end as energy and food prices increased. Core inflation, excluding food and energy, remained elevated at 3.2% to 3.4% throughout the quarter. The unemployment rate stood at 4.3% in January and stabilized near 4.4% to 4.5% through March. Monthly job gains averaged 150,000 to 180,000,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the low-hire, low-fire labor market environment established in late 2025. U.S. real GDP growth tracked between 2.0% and 3.0% for the quarter according to the Federal Reserve Bank of Atlanta's GDPNow model.</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Federal Reserve held interest rates steady at its March meeting, maintaining the target range at 3.50% to 3.75%. This marked a pause in the easing cycle that began in late 2024, with no rate cuts implemented during Q1 2026. The Board of Governors of the Federal Reserve System (the “Fed”) adopted a more hawkish tone, signaling that rate cuts previously expected for 2026 were now unlikely, influenced by renewed inflation pressures from Middle Eastern conflict and resilient labor market conditions. Market participants shifted from pricing in multiple cuts to pricing in zero cuts for the remainder of the year.</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U.S. Treasury yield curve flattened in the first quarter, driven by a sell-off at the long end of the curve. Following the geopolitical shock and hawkish repricing of Federal Reserve policy, yields across Treasuries rose quarter over quarter. Yields on 10-year and 30-year Treasuries increased by approximately 30 to 40 basis points, while shorter maturities rose by roughly 15 to 20 basis points. Treasury yields reversed their late-2025 decline, moving higher as markets abandoned expectations for near-term rate cuts.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corporate credit markets, both U.S. and European high yield generated negative performance in the first quarter of 2026. According to J.P. Morgan data, U.S. high yield was down 0.3% and the European market returned 1.5% during the three-month period. In the United States, high yield bond spreads widened by 41 basis points during the quarter to 355 basis points compared to 314 at the start of the year. In Europe, high yield spreads widened by 67 basis points during the quarter to 412 basis points, up from 345 at the beginning of the year. The high yield default rate, measured on a trailing twelve-month basis, increased from 1.9% to 2.1% in the United States and modestly decreased from 3.2% to 3.1% in Europe. Additionally, the J.P. Morgan U.S. Leveraged Loan Index posted a (0.4%) return, and the J.P. Morgan European Leveraged Loan Index posted a (1.0%) return for the first quarter of 2026. From a spread and yield basis, the U.S. Leveraged Loan Index ended the quarter at a yield of 8.4% and 484 basis point spread, while the European Leverage Loan Index ended the quarter at a yield of 8.3% and 547 basis point spread.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owner of the entities serving as the general partner of the TPG Operating Group partnerships and our only material assets are Common Units representing approximately 42% of the outstanding Common Units and 100% of the interests in certain intermediate holding companies as of March 31, 2026. In our capacity as the sole indirect owner of the entities serving as the general partner of the TPG Operating Group partnerships, we indirectly control all of the TPG Operating Group’s business and affairs.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 operate our business in a single operating and reportable segment, as our CEO, who is our CODM, manages the business on a consolidated basis.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collaboratively across product lines through shared investment themes and shared support functions that span across product lines.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consolidate the financial results of TPG Inc., TPG Operating Group and its consolidated subsidiaries, management companies, the general partners of funds and entities that meet the definition of a variable interest entity for which we are considered the primary beneficiary.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Condensed Consolidated Statements of Financial Condition and net income (loss) attributable to non-controlling interests on the Condensed Consolidated Statements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are not required under U.S. GAAP to consolidate the majority of investment funds we advise in our Condensed Consolidated Financial Statements because we do not have a more than insignificant variable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key financial and operating measures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Fees and Other</w:t>
      </w:r>
      <w:r>
        <w:rPr>
          <w:rFonts w:ascii="Times New Roman" w:cs="Times New Roman" w:eastAsia="Times New Roman" w:hAnsi="Times New Roman"/>
          <w:sz w:val="18"/>
          <w:szCs w:val="18"/>
          <w:color w:val="auto"/>
        </w:rPr>
        <w:t>. Fees and other consists primarily of (i) management fees, (ii) monitoring fees, (iii) transaction fees, (iv) incentive fee income and</w:t>
      </w:r>
    </w:p>
    <w:p>
      <w:pPr>
        <w:spacing w:after="0" w:line="29" w:lineRule="exact"/>
        <w:rPr>
          <w:sz w:val="20"/>
          <w:szCs w:val="20"/>
          <w:color w:val="auto"/>
        </w:rPr>
      </w:pPr>
    </w:p>
    <w:p>
      <w:pPr>
        <w:jc w:val="both"/>
        <w:ind w:firstLine="8"/>
        <w:spacing w:after="0" w:line="253" w:lineRule="auto"/>
        <w:tabs>
          <w:tab w:leader="none" w:pos="2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Management fees include catch-up fees resulting from additional capital commitments from limited partners in subsequent closings. Monitoring fees may provide for a termination payment following an initial public offering or change of control. These termination payments are recognized in the period in which the related transaction closes.</w:t>
      </w:r>
    </w:p>
    <w:p>
      <w:pPr>
        <w:spacing w:after="0" w:line="1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Capital Allocation-Based Income (Loss)</w:t>
      </w:r>
      <w:r>
        <w:rPr>
          <w:rFonts w:ascii="Times New Roman" w:cs="Times New Roman" w:eastAsia="Times New Roman" w:hAnsi="Times New Roman"/>
          <w:sz w:val="18"/>
          <w:szCs w:val="18"/>
          <w:color w:val="auto"/>
        </w:rPr>
        <w:t>. Capital allocation-based income (loss) is earned from our funds when we have (i) a general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interest and (ii) performance allocations which entitle us to a disproportionate allocation of investment income or loss from investment funds. We are entitled to a performance allocation (typically 20%) based on cumulative fund or account performance to date, irrespective of whether such amounts have been realized. These performance allocations are subject to the achievement of preferred returns or high water marks, where applicable,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Company accounts for its general partner interests in capital allocation-based arrangements as financial instruments under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as the general partner has significant governance rights in the TPG funds in which it invests which demonstrates significant influence. Accordingly, performance allocations are not deemed to be within the scope of ASC 606.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Compensation and benefits expense includes (i) cash-based compensation and benefits, (ii)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(iii) performance allocation compensation. Bonuses are accrued over the service period to which they relate. In addition, we have equity-based compensation arrangements that require certain TPG executives and employees to vest over a service period of generally one to five years, which under U.S. GAAP will result in compensation charges over current and future periods. In connection with our IPO and subsequent acquisitions, we granted RSUs to executives and employees. Distributions of performance allocations in the legal form of equity made directly or indirectly to our partners and professionals are allocated and distributed, when realized, pro rata based on ownership percentages in the underlying investment partnership. These distributions were accounted for as distributions on the equity held by such partners rather than as compensation and benefits expense prior to the Reorganization and IPO and are now accounted for as performance allocation compensation.</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General, Administrative and Other</w:t>
      </w:r>
      <w:r>
        <w:rPr>
          <w:rFonts w:ascii="Times New Roman" w:cs="Times New Roman" w:eastAsia="Times New Roman" w:hAnsi="Times New Roman"/>
          <w:sz w:val="18"/>
          <w:szCs w:val="18"/>
          <w:color w:val="auto"/>
        </w:rPr>
        <w:t>. General and administrative expenses include costs primarily related to professional services, occupancy,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and information services and other general operating items.</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of tenant improvements, furniture and equipment and intangible assets are expensed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straight-line basis over the useful life of the asset.</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includes interest paid and accrued on our outstanding debt and the amortization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Net Gains (Losses) from Investment Activities</w:t>
      </w:r>
      <w:r>
        <w:rPr>
          <w:rFonts w:ascii="Times New Roman" w:cs="Times New Roman" w:eastAsia="Times New Roman" w:hAnsi="Times New Roman"/>
          <w:sz w:val="18"/>
          <w:szCs w:val="18"/>
          <w:color w:val="auto"/>
        </w:rPr>
        <w:t>. Realized gains (losses) may be recognized when we redeem all or a portion of an investment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Interest, Dividends and Other</w:t>
      </w:r>
      <w:r>
        <w:rPr>
          <w:rFonts w:ascii="Times New Roman" w:cs="Times New Roman" w:eastAsia="Times New Roman" w:hAnsi="Times New Roman"/>
          <w:sz w:val="18"/>
          <w:szCs w:val="18"/>
          <w:color w:val="auto"/>
        </w:rPr>
        <w:t>. Interest income is recognized on an accrual basis to the extent that such amounts are expected to be collected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interest method. Dividends and other investment income are recorded when the right to receive payment is established.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condensed consolidated results of operations for the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512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other</w:t>
            </w:r>
          </w:p>
        </w:tc>
        <w:tc>
          <w:tcPr>
            <w:tcW w:w="24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620,022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543,455</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allocation-based (loss) income</w:t>
            </w:r>
          </w:p>
        </w:tc>
        <w:tc>
          <w:tcPr>
            <w:tcW w:w="19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491,421</w:t>
            </w:r>
          </w:p>
        </w:tc>
      </w:tr>
      <w:tr>
        <w:trPr>
          <w:trHeight w:val="223"/>
        </w:trPr>
        <w:tc>
          <w:tcPr>
            <w:tcW w:w="5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1,034,876</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Cash-based compensation and benefits</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223,570</w:t>
            </w:r>
          </w:p>
        </w:tc>
      </w:t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255,136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205,832</w:t>
            </w:r>
          </w:p>
        </w:tc>
      </w:tr>
      <w:tr>
        <w:trPr>
          <w:trHeight w:val="230"/>
        </w:trPr>
        <w:tc>
          <w:tcPr>
            <w:tcW w:w="5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19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298,705</w:t>
            </w:r>
          </w:p>
        </w:tc>
      </w:tr>
      <w:tr>
        <w:trPr>
          <w:trHeight w:val="223"/>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426,176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728,107</w:t>
            </w: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164,311</w:t>
            </w: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31,382</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w:t>
            </w:r>
          </w:p>
        </w:tc>
      </w:tr>
      <w:tr>
        <w:trPr>
          <w:trHeight w:val="223"/>
        </w:trPr>
        <w:tc>
          <w:tcPr>
            <w:tcW w:w="5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648,607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947,860</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(loss)</w:t>
            </w: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losses from investment activities</w:t>
            </w: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19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r>
      <w:tr>
        <w:trPr>
          <w:trHeight w:val="223"/>
        </w:trPr>
        <w:tc>
          <w:tcPr>
            <w:tcW w:w="5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23"/>
        </w:trPr>
        <w:tc>
          <w:tcPr>
            <w:tcW w:w="5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94,177</w:t>
            </w:r>
          </w:p>
        </w:tc>
      </w:tr>
      <w:tr>
        <w:trPr>
          <w:trHeight w:val="229"/>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w:t>
            </w:r>
          </w:p>
        </w:tc>
      </w:tr>
      <w:tr>
        <w:trPr>
          <w:trHeight w:val="223"/>
        </w:trPr>
        <w:tc>
          <w:tcPr>
            <w:tcW w:w="5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87,828</w:t>
            </w:r>
          </w:p>
        </w:tc>
      </w:tr>
      <w:tr>
        <w:trPr>
          <w:trHeight w:val="230"/>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62,435</w:t>
            </w:r>
          </w:p>
        </w:tc>
      </w:tr>
      <w:tr>
        <w:trPr>
          <w:trHeight w:val="248"/>
        </w:trPr>
        <w:tc>
          <w:tcPr>
            <w:tcW w:w="51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(loss) income attributable to TPG Inc.</w:t>
            </w:r>
          </w:p>
        </w:tc>
        <w:tc>
          <w:tcPr>
            <w:tcW w:w="1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data:</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available to Class A common stock per share</w:t>
            </w: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159,635,235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117,408,263</w:t>
            </w: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383,711,322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369,358,961</w:t>
            </w:r>
          </w:p>
        </w:tc>
      </w:tr>
      <w:tr>
        <w:trPr>
          <w:trHeight w:val="905"/>
        </w:trPr>
        <w:tc>
          <w:tcPr>
            <w:tcW w:w="5120" w:type="dxa"/>
            <w:vAlign w:val="bottom"/>
          </w:tcPr>
          <w:p>
            <w:pPr>
              <w:spacing w:after="0"/>
              <w:rPr>
                <w:sz w:val="24"/>
                <w:szCs w:val="24"/>
                <w:color w:val="auto"/>
              </w:rPr>
            </w:pPr>
          </w:p>
        </w:tc>
        <w:tc>
          <w:tcPr>
            <w:tcW w:w="19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63</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0" w:type="dxa"/>
            <w:vAlign w:val="bottom"/>
            <w:tcBorders>
              <w:bottom w:val="single" w:sz="8" w:color="auto"/>
            </w:tcBorders>
          </w:tcPr>
          <w:p>
            <w:pPr>
              <w:spacing w:after="0"/>
              <w:rPr>
                <w:sz w:val="18"/>
                <w:szCs w:val="18"/>
                <w:color w:val="auto"/>
              </w:rPr>
            </w:pPr>
          </w:p>
        </w:tc>
      </w:tr>
      <w:tr>
        <w:trPr>
          <w:trHeight w:val="211"/>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9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600" w:type="dxa"/>
            <w:vAlign w:val="bottom"/>
            <w:tcBorders>
              <w:bottom w:val="single" w:sz="8" w:color="auto"/>
            </w:tcBorders>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monitoring and other fees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62,991</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capital allocation-based (loss)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(611,437)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6"/>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500,006</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1,034,876</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(534,870)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Fees and other revenues increased $76.6 million, or 14%, during the three months ended March 31, 2026 compared to the three months ended March 31, 2025. This change resulted primarily from a $60.5 million increase in management fees and a $21.7 million increase in transaction, monitoring and other fees.</w:t>
      </w:r>
    </w:p>
    <w:p>
      <w:pPr>
        <w:spacing w:after="0" w:line="1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The $60.5 million increase in management fees during the three months ended March 31,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is attributable to:</w:t>
      </w:r>
    </w:p>
    <w:p>
      <w:pPr>
        <w:spacing w:after="0" w:line="160" w:lineRule="exact"/>
        <w:rPr>
          <w:sz w:val="20"/>
          <w:szCs w:val="20"/>
          <w:color w:val="auto"/>
        </w:rPr>
      </w:pPr>
    </w:p>
    <w:p>
      <w:pPr>
        <w:ind w:left="98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$23.9 million from our Capital platform primarily driven by management fees from TPG X, which was activated in the third quarter of 2025, partially offset by a step-down in the fee basis of TPG IX from committed to invested capital in the fourth quarter of 2025;</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 million from our Growth platform primarily due to new capital raised for Growth VI during the last twelve months, resulting in a larger fee-earning commitment base;</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$9.0 million from our Impact platform primarily due to fees earned from Rise IV following its activation in the first quarter of 2026 and catch-up fees earned from Rise Climate II;</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$14.6 million from our Credit platform primarily driven by a higher fee basis across Credit Solutions III, MMDL V and ABC Evergreen as a result of new investments. These increases were partially offset by a decline in fee-earning AUM within MMDL III;</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$11.1 million from our Real Estate platform driven by the impact of catch-up fees earned from Europe Realty IV during the three months ended March 31, 2025;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$22.2 million from our Market Solutions platform primarily driven by the addition of management fees from TPG Peppertree, which was acquired in July 2025.</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Catch-up management fees totaled $6.4 million during the three months ended March 31, 2026 and primarily consisted of $3.4 million for TPG X and $2.9 million for Rise Climate II.</w:t>
      </w:r>
    </w:p>
    <w:p>
      <w:pPr>
        <w:spacing w:after="0" w:line="16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Transaction, Monitoring and Other Fees</w:t>
      </w:r>
      <w:r>
        <w:rPr>
          <w:rFonts w:ascii="Times New Roman" w:cs="Times New Roman" w:eastAsia="Times New Roman" w:hAnsi="Times New Roman"/>
          <w:sz w:val="18"/>
          <w:szCs w:val="18"/>
          <w:color w:val="auto"/>
        </w:rPr>
        <w:t>. Transaction, monitoring and other fees increased $21.7 million, or 35%,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2026 compared to the three months ended March 31, 2025, primarily driven by an increase in capital markets activity among our portfolio companies involving our broker-dealer within our Market Solutions platform.</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Expense Reimbursements and Other</w:t>
      </w:r>
      <w:r>
        <w:rPr>
          <w:rFonts w:ascii="Times New Roman" w:cs="Times New Roman" w:eastAsia="Times New Roman" w:hAnsi="Times New Roman"/>
          <w:sz w:val="18"/>
          <w:szCs w:val="18"/>
          <w:color w:val="auto"/>
        </w:rPr>
        <w:t>. Expense reimbursements and other decreased $5.6 million, or 9%,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primarily driven by a reduction in reimbursements from TPG funds.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Allocations. </w:t>
      </w:r>
      <w:r>
        <w:rPr>
          <w:rFonts w:ascii="Times New Roman" w:cs="Times New Roman" w:eastAsia="Times New Roman" w:hAnsi="Times New Roman"/>
          <w:sz w:val="18"/>
          <w:szCs w:val="18"/>
          <w:color w:val="auto"/>
        </w:rPr>
        <w:t>Performance allocations decreased $589.0 million for the three months ended March 31, 2026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Realized performance allocation gains for the three months ended March 31, 2026 and 2025 totaled $323.4 million and $213.4 million, respectively. Unrealized performance allocation losses for the three months ended March 31, 2026 totaled $461.8 million and unrealized performance allocation gains for the three months ended March 31, 2025 totaled $237.2 million.</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table below highlights performance allocations for the three months ended March 31, 2026 and 2025,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0" w:type="dxa"/>
            <w:vAlign w:val="bottom"/>
            <w:tcBorders>
              <w:bottom w:val="single" w:sz="8" w:color="auto"/>
            </w:tcBorders>
          </w:tcPr>
          <w:p>
            <w:pPr>
              <w:spacing w:after="0"/>
              <w:rPr>
                <w:sz w:val="18"/>
                <w:szCs w:val="18"/>
                <w:color w:val="auto"/>
              </w:rPr>
            </w:pPr>
          </w:p>
        </w:tc>
      </w:tr>
      <w:tr>
        <w:trPr>
          <w:trHeight w:val="211"/>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9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600" w:type="dxa"/>
            <w:vAlign w:val="bottom"/>
            <w:tcBorders>
              <w:bottom w:val="single" w:sz="8" w:color="auto"/>
            </w:tcBorders>
          </w:tcPr>
          <w:p>
            <w:pPr>
              <w:spacing w:after="0"/>
              <w:rPr>
                <w:sz w:val="23"/>
                <w:szCs w:val="23"/>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Shared: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7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(268,647)</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241,909</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(510,556)</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4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Solutions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TPG Operating Group Shared: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Excluded: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Growth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4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TPG Operating Group Excluded</w:t>
            </w:r>
            <w:r>
              <w:rPr>
                <w:rFonts w:ascii="Times New Roman" w:cs="Times New Roman" w:eastAsia="Times New Roman" w:hAnsi="Times New Roman"/>
                <w:sz w:val="23"/>
                <w:szCs w:val="23"/>
                <w:b w:val="1"/>
                <w:bCs w:val="1"/>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Performance Allocations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450,560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(588,951)</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w:t>
      </w:r>
    </w:p>
    <w:p>
      <w:pPr>
        <w:spacing w:after="0" w:line="21"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is zero for each of the TPG Operating Group Excluded entities following January 1, 2022.</w:t>
      </w:r>
    </w:p>
    <w:p>
      <w:pPr>
        <w:spacing w:after="0" w:line="16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$589.0 million decrease in performance allocation during the three months ended March 31, 2026 compared to the three months ended March 31, 2025 is attributable to:</w:t>
      </w:r>
    </w:p>
    <w:p>
      <w:pPr>
        <w:spacing w:after="0" w:line="162" w:lineRule="exact"/>
        <w:rPr>
          <w:sz w:val="20"/>
          <w:szCs w:val="20"/>
          <w:color w:val="auto"/>
        </w:rPr>
      </w:pPr>
    </w:p>
    <w:p>
      <w:pPr>
        <w:jc w:val="both"/>
        <w:ind w:left="980" w:hanging="486"/>
        <w:spacing w:after="0" w:line="261" w:lineRule="auto"/>
        <w:tabs>
          <w:tab w:leader="none" w:pos="97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losses of $268.6 million from our Capital platform for the three months ended March 31, 2026 were primarily driven by losses of $149.1 million from TPG VIII, $78.8 million from TPG IX, $25.9 million from TPG VII and $21.1 million from THP I. Performance allocation income for the three months ended March 31, 2025 was largely driven by income of $110.7 million from TPG IX, $67.1 million from Asia VII and $30.4 million from Asia VIII, partially offset by losses of $15.4 million from THP I;</w:t>
      </w:r>
    </w:p>
    <w:p>
      <w:pPr>
        <w:spacing w:after="0" w:line="179" w:lineRule="exact"/>
        <w:rPr>
          <w:rFonts w:ascii="Times New Roman" w:cs="Times New Roman" w:eastAsia="Times New Roman" w:hAnsi="Times New Roman"/>
          <w:sz w:val="18"/>
          <w:szCs w:val="18"/>
          <w:b w:val="1"/>
          <w:bCs w:val="1"/>
          <w:i w:val="1"/>
          <w:iCs w:val="1"/>
          <w:color w:val="auto"/>
        </w:rPr>
      </w:pPr>
    </w:p>
    <w:p>
      <w:pPr>
        <w:jc w:val="both"/>
        <w:ind w:left="980" w:hanging="486"/>
        <w:spacing w:after="0" w:line="26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of $87.6 million from our Growth platform for the three months ended March 31, 2026 were primarily driven by losses of $50.8 million from Growth V, $31.8 million from Growth IV and $20.2 million from Growth III, partially offset by gains of $17.1 million from TPG Atlas. Performance allocation income for the three months ended March 31, 2025 was primarily driven by income of $16.8 million from Growth V, $16.2 million from Growth VI and $12.5 million from Growth IV, partially offset by losses of $5.2 million from Growth III;</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61"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of $34.3 million from our Impact platform for the three months ended March 31, 2026 were primarily driven by losses of $47.9 million from Rise I and $17.1 million from Rise II, partially offset by gains of $19.1 million from Rise III. Performance allocation income for the three months ended March 31, 2025 was largely driven by income of $18.1 million from Rise III, $7.3 million from Rise Climate I and $6.8 million from Rise II, partially offset by losses of $16.6 million from Rise I;</w:t>
      </w:r>
    </w:p>
    <w:p>
      <w:pPr>
        <w:spacing w:after="0" w:line="179"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$88.0 million from our Credit platform for the three months ended March 31, 2026 was primarily driven by income of $23.0 million from Credit Solutions III, $17.2 million from Credit Solutions II, $10.8 million from MMDL V and $9.2 million from MVP. Performance allocation income for the three months ended March 31, 2025 was largely driven by income of $14.8 million from MVP Fund, $8.8 million from Credit Solutions III, $7.9 million from Credit Solutions II, $7.2 million from ABC Fund and $6.7 million from MMDL V;</w:t>
      </w:r>
    </w:p>
    <w:p>
      <w:pPr>
        <w:spacing w:after="0" w:line="179"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$149.8 million from our Real Estate platform for the three months ended March 31, 2026 was primarily driven by income of $105.8 million from TREP IV, $30.4 million from Asia Realty V and $8.9 million from Realty XI. Performance allocation income for the three months ended March 31, 2025 was largely driven by income of TREP III, partially offset by losses of $30.5 million from Realty X and $12.6 million from Europe Realty III; and</w:t>
      </w:r>
    </w:p>
    <w:p>
      <w:pPr>
        <w:spacing w:after="0" w:line="179"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$15.4 million from our Market Solutions platform for the three months ended March 31, 2026 was primarily driven by income of $19.6 million from TGS, partially offset by losses of $8.2 million from Peppertree Fund VIII. Performance allocation losses for the three months ended March 31, 2025 was were primarily driven by $13.3 million of loss from NewQuest IV, partially offset by net gains of $3.4 million from NewQuest V.</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Operating Group Excluded entities generated losses of $1.1 million during the three months ended March 31, 2026 compared to income of $28.8 million during the three months ended March 31, 2025. Performance allocation losses for the three months ended March 31, 2026 were primarily driven by losses of $1.6 million from TREP II from our Real Estate platform and $1.0 million from Growth II within our Growth platform, partially offset by gains of $2.0 million from Asia V from our Capital platform. Performance allocation income for three months ended March 31, 2025 was primarily driven by gains of $11.2 million from Biotech III, $7.5 million from Gator and $7.0 million from Growth II from our Growth platform and $2.7 million from TPG VI from our Capital platform.</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accrued performance allocations presented as investments in the Condensed Consolidated Statements of Financial Condition for Common Unit holders TPG Operating Group shared TPG general partner entities totaled $6.6 billion. As of March 31, 2026, accrued performance allocations presented as investments in the Condensed Consolidated Statements of Financial Condition for Common Unit holders TPG Operating Group excluded TPG general partner entities totaled $0.2 billion.</w:t>
      </w:r>
    </w:p>
    <w:p>
      <w:pPr>
        <w:spacing w:after="0" w:line="1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Interests. </w:t>
      </w:r>
      <w:r>
        <w:rPr>
          <w:rFonts w:ascii="Times New Roman" w:cs="Times New Roman" w:eastAsia="Times New Roman" w:hAnsi="Times New Roman"/>
          <w:sz w:val="18"/>
          <w:szCs w:val="18"/>
          <w:color w:val="auto"/>
        </w:rPr>
        <w:t>Capital interests income decreased $22.5 million for the three months ended March 31,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This change was primarily attributable to losses from our investments in TPG IX and Asia VII, which were partially offset by gains on our investments in TGS and TPG X during the three months ended March 31, 2026. During the three months ended March 31, 2025, we recognized gains on our investments in TPG IX, Asia VII and Asia VIII, which were partially offset by losses from our investments in Rise I and TGS.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w:t>
      </w:r>
      <w:r>
        <w:rPr>
          <w:rFonts w:ascii="Times New Roman" w:cs="Times New Roman" w:eastAsia="Times New Roman" w:hAnsi="Times New Roman"/>
          <w:sz w:val="18"/>
          <w:szCs w:val="18"/>
          <w:color w:val="auto"/>
        </w:rPr>
        <w:t>Cash-based compensation and benefits expense increased $13.6 million, or 6%,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compared to the three months ended March 31, 2025, primarily driven by higher salary and benefit costs associated with increased headcount.</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Equity-based compensation expense increased $49.3 million, or 24%,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This change was primarily attributable to an increase in compensatory Common Unit grants to certain TPG Peppertree partners, as described in Note 14 to the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 Compensation. </w:t>
      </w:r>
      <w:r>
        <w:rPr>
          <w:rFonts w:ascii="Times New Roman" w:cs="Times New Roman" w:eastAsia="Times New Roman" w:hAnsi="Times New Roman"/>
          <w:sz w:val="18"/>
          <w:szCs w:val="18"/>
          <w:color w:val="auto"/>
        </w:rPr>
        <w:t>Performance allocation compensation decreased $364.9 million, or 122%,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2026 compared to the three months ended March 31, 2025. This change was primarily driven by a decline in performance allocations, which resulted in a corresponding reduction in the related compensation expense for our partners and professionals.</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and administrative expenses decreased $16.4 million, or 10%,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three months ended March 31, 2025, primarily attributable to lower professional expenses.</w:t>
      </w:r>
    </w:p>
    <w:p>
      <w:pPr>
        <w:spacing w:after="0" w:line="19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increased $10.4 million, or 33%,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primarily due to the amortization of intangible assets resulting from the Peppertree Acquisition in July 2025.</w:t>
      </w:r>
    </w:p>
    <w:p>
      <w:pPr>
        <w:spacing w:after="0" w:line="173"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$8.7 million, or 36%, for the three months ended March 31,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primarily due to an increase in outstanding principal balances on our debt obligations.</w:t>
      </w:r>
    </w:p>
    <w:p>
      <w:pPr>
        <w:spacing w:after="0" w:line="158"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Losses from Investment Activities. </w:t>
      </w:r>
      <w:r>
        <w:rPr>
          <w:rFonts w:ascii="Times New Roman" w:cs="Times New Roman" w:eastAsia="Times New Roman" w:hAnsi="Times New Roman"/>
          <w:sz w:val="18"/>
          <w:szCs w:val="18"/>
          <w:color w:val="auto"/>
        </w:rPr>
        <w:t>Net losses from investment activities were $1.1 million and $2.1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2026 and March 31, 2025, respectively.</w:t>
      </w:r>
    </w:p>
    <w:p>
      <w:pPr>
        <w:spacing w:after="0" w:line="158"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Dividends and Other. </w:t>
      </w:r>
      <w:r>
        <w:rPr>
          <w:rFonts w:ascii="Times New Roman" w:cs="Times New Roman" w:eastAsia="Times New Roman" w:hAnsi="Times New Roman"/>
          <w:sz w:val="18"/>
          <w:szCs w:val="18"/>
          <w:color w:val="auto"/>
        </w:rPr>
        <w:t>Interest, dividends and other decreased $0.2 million, or 3%, for the three months ended March 31,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2025.</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Income Tax (Benefit) Expense</w:t>
      </w:r>
      <w:r>
        <w:rPr>
          <w:rFonts w:ascii="Times New Roman" w:cs="Times New Roman" w:eastAsia="Times New Roman" w:hAnsi="Times New Roman"/>
          <w:sz w:val="18"/>
          <w:szCs w:val="18"/>
          <w:color w:val="auto"/>
        </w:rPr>
        <w:t>. Income tax expense decreased $23.8 million for the three months ended March 31, 2026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primarily due to a decrease in net income attributable to TPG Inc. for the period ended March 31, 2026.</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Condition (U.S. GAAP basis)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70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4"/>
          </w:tcPr>
          <w:p>
            <w:pPr>
              <w:jc w:val="right"/>
              <w:ind w:right="1450"/>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851,399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826,105</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9,049,455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9,211,816</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573,590</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1,158,027</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552,254</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860,676</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448,736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310,467</w:t>
            </w:r>
          </w:p>
        </w:tc>
      </w:tr>
      <w:tr>
        <w:trPr>
          <w:trHeight w:val="248"/>
        </w:trPr>
        <w:tc>
          <w:tcPr>
            <w:tcW w:w="7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13,307,346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13,492,935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obligations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2,342,953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1,722,547</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694,632</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5,014,659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5,399,750</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604,593</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844,348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935,038</w:t>
            </w:r>
          </w:p>
        </w:tc>
      </w:tr>
      <w:tr>
        <w:trPr>
          <w:trHeight w:val="22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9,582,575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9,356,560</w:t>
            </w:r>
          </w:p>
        </w:tc>
      </w:tr>
      <w:tr>
        <w:trPr>
          <w:trHeight w:val="237"/>
        </w:trPr>
        <w:tc>
          <w:tcPr>
            <w:tcW w:w="7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175"/>
        </w:trPr>
        <w:tc>
          <w:tcPr>
            <w:tcW w:w="7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2,340,000,000 shares authorized (160,321,166 and</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4"/>
        </w:trPr>
        <w:tc>
          <w:tcPr>
            <w:tcW w:w="70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153,113,961 shares issued and outstanding as of March 31, 2026 and December 31, 2025,</w:t>
            </w: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175"/>
        </w:trPr>
        <w:tc>
          <w:tcPr>
            <w:tcW w:w="7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750,000,000 shares authorized (223,852,327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224,331,812 shares issued and outstanding as of March 31, 2026 and December 31, 2025,</w:t>
            </w: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175"/>
        </w:trPr>
        <w:tc>
          <w:tcPr>
            <w:tcW w:w="7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(0 issued and outstanding as of</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3"/>
        </w:trPr>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30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1,476,444</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(291,604)</w:t>
            </w: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2,951,158</w:t>
            </w:r>
          </w:p>
        </w:tc>
      </w:tr>
      <w:tr>
        <w:trPr>
          <w:trHeight w:val="223"/>
        </w:trPr>
        <w:tc>
          <w:tcPr>
            <w:tcW w:w="7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3,724,771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4,136,375</w:t>
            </w:r>
          </w:p>
        </w:tc>
      </w:tr>
      <w:tr>
        <w:trPr>
          <w:trHeight w:val="248"/>
        </w:trPr>
        <w:tc>
          <w:tcPr>
            <w:tcW w:w="7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13,307,346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13,492,935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Investments decreased $162.4 million during the three months ended March 31, 2026 primarily due to net capital allocation-based loss of $120.0 million, proceeds of $488.2 million and deconsolidation activity of $497.0 million, offset by purchases of investments of $950.4 million.</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assets increased $138.3 million during the three months ended March 31, 2026 primarily related to the issuance of Class A common stock to a subsidiary of Jackson as described in Note 15.</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Debt obligations increased $620.4 million during the three months ended March 31, 2026 primarily due to the issuance of the 2031 Senior Notes and outstanding borrowings on the Senior Unsecured Revolving Credit Facility.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Accrued performance allocation compensation decreased $385.1 million for the three months ended March 31, 2026, primarily attributable to net decreases in performance fee compensation expense of $66.1 million and settlements of performance allocation compensation of $317.5 million during the three months ended March 31,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Distributable Earnings. </w:t>
      </w:r>
      <w:r>
        <w:rPr>
          <w:rFonts w:ascii="Times New Roman" w:cs="Times New Roman" w:eastAsia="Times New Roman" w:hAnsi="Times New Roman"/>
          <w:sz w:val="18"/>
          <w:szCs w:val="18"/>
          <w:color w:val="auto"/>
        </w:rPr>
        <w:t>Distributable Earnings (“DE”) is used to assess performance and amounts potentially available for distributions to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 is derived from and reconciled to, but not equivalent to, its most directly comparable U.S. GAAP measure of net income. DE differs from U.S. GAAP net income computed in accordance with U.S. GAAP in that it does not include (i) unrealized performance allocations and related compensation expense,</w:t>
      </w:r>
    </w:p>
    <w:p>
      <w:pPr>
        <w:spacing w:after="0" w:line="1" w:lineRule="exact"/>
        <w:rPr>
          <w:sz w:val="20"/>
          <w:szCs w:val="20"/>
          <w:color w:val="auto"/>
        </w:rPr>
      </w:pPr>
    </w:p>
    <w:p>
      <w:pPr>
        <w:ind w:firstLine="8"/>
        <w:spacing w:after="0" w:line="260"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investment income, (iii) equity-based compensation expense, (iv) amortization, (v) net income (loss) attributable to non-controlling interests in consolidated entities, or (vi) certain other items, such as contingent reserves.</w:t>
      </w:r>
    </w:p>
    <w:p>
      <w:pPr>
        <w:spacing w:after="0" w:line="1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 prepared in accordance with U.S. GAAP.</w:t>
      </w:r>
    </w:p>
    <w:p>
      <w:pPr>
        <w:spacing w:after="0" w:line="1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After-Tax Distributable Earnings</w:t>
      </w:r>
      <w:r>
        <w:rPr>
          <w:rFonts w:ascii="Times New Roman" w:cs="Times New Roman" w:eastAsia="Times New Roman" w:hAnsi="Times New Roman"/>
          <w:sz w:val="18"/>
          <w:szCs w:val="18"/>
          <w:color w:val="auto"/>
        </w:rPr>
        <w:t>. After-tax Distributable Earnings (“After-tax DE”) is a non-GAAP performance measure of our distributable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after reflecting the impact of income taxes. We use it to assess how income tax expense affects amounts available to be distributed to our Class A common stockholders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due to affiliates and other liabilities in our Condensed Consolidated Statements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spacing w:after="0" w:line="17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Fee-Related Earnings</w:t>
      </w:r>
      <w:r>
        <w:rPr>
          <w:rFonts w:ascii="Times New Roman" w:cs="Times New Roman" w:eastAsia="Times New Roman" w:hAnsi="Times New Roman"/>
          <w:sz w:val="18"/>
          <w:szCs w:val="18"/>
          <w:color w:val="auto"/>
        </w:rPr>
        <w:t>. Fee-Related Earnings (“FRE”) is a supplemental performance measure and is used to evaluate our business and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and (v)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Fee-Related Revenues</w:t>
      </w:r>
      <w:r>
        <w:rPr>
          <w:rFonts w:ascii="Times New Roman" w:cs="Times New Roman" w:eastAsia="Times New Roman" w:hAnsi="Times New Roman"/>
          <w:sz w:val="18"/>
          <w:szCs w:val="18"/>
          <w:color w:val="auto"/>
        </w:rPr>
        <w:t>. Fee-related revenues (“FRR”) is a component of FRE. Fee-related revenues is comprised of (i) management fees, (ii) fee-related 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revenues differs from revenue computed in accordance with U.S. GAAP in that it excludes certain reimbursement expense arrangements. Refer to “—Reconciliation to U.S. GAAP Measures” to the comparable line items on the Condensed Consolidated Statements of Operations.</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Fee-Related Expenses</w:t>
      </w:r>
      <w:r>
        <w:rPr>
          <w:rFonts w:ascii="Times New Roman" w:cs="Times New Roman" w:eastAsia="Times New Roman" w:hAnsi="Times New Roman"/>
          <w:sz w:val="18"/>
          <w:szCs w:val="18"/>
          <w:color w:val="auto"/>
        </w:rPr>
        <w:t>. Fee-related expenses is a component of FRE. Fee-related expenses differs from expenses computed in accordance with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in that it is net of certain reimbursement arrangements and does not include performance allocation compensation. Fee-related expenses is used in management’s review of the business. Refer to “—Reconciliation to U.S. GAAP Measures” to the comparable line items on the Condensed Consolidated Statements of Operations.</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calculations of DE, FRE, fee-related revenues and fee-related expenses may differ from the calculations of other investment managers. As a result, these measures may not be comparable to similar measures presented by other investment managers.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total FRE and DE for the three months ended March 31, 2026 and 2025:</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475,119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413,160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Fee-related performance revenues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monitoring and other fees, net</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56,903</w:t>
            </w:r>
          </w:p>
        </w:tc>
      </w:tr>
      <w:tr>
        <w:trPr>
          <w:trHeight w:val="22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Fee-Related Revenues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557,180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476,264</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Cash-based compensation and benefits, net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208,312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193,549</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Fee-related performance compensation</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net</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97,872</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98,053</w:t>
            </w:r>
          </w:p>
        </w:tc>
      </w:tr>
      <w:tr>
        <w:trPr>
          <w:trHeight w:val="223"/>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Fee-Related Expenses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310,287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294,702</w:t>
            </w:r>
          </w:p>
        </w:tc>
      </w:tr>
      <w:tr>
        <w:trPr>
          <w:trHeight w:val="223"/>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246,893</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181,562</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39,621</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(25,910)</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r>
      <w:tr>
        <w:trPr>
          <w:trHeight w:val="223"/>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295,951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197,779</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r>
      <w:tr>
        <w:trPr>
          <w:trHeight w:val="223"/>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1300" w:type="dxa"/>
            <w:vAlign w:val="bottom"/>
            <w:tcBorders>
              <w:bottom w:val="single" w:sz="8" w:color="auto"/>
            </w:tcBorders>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281,630</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186,736</w:t>
            </w:r>
          </w:p>
        </w:tc>
      </w:tr>
      <w:tr>
        <w:trPr>
          <w:trHeight w:val="20"/>
        </w:trPr>
        <w:tc>
          <w:tcPr>
            <w:tcW w:w="7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Revenues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revenues increased $80.9 million, or 17%, for the three months ended March 31, 2026 compared to the three months ended March 31, 2025. The change was primarily due to additional management fees of $62.0 million and an increase in transaction, monitoring and other fees, net of $17.0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management fees in our platforms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136,203</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111,574</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47,715</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63,679</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94,741</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37,864</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15,876</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Management Fees</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475,119</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413,160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$62.0 million increase in management fees during the three months ended March 31, 2026 compared to the three months ended March 31, 2025 is attributable to:</w:t>
      </w:r>
    </w:p>
    <w:p>
      <w:pPr>
        <w:spacing w:after="0" w:line="162" w:lineRule="exact"/>
        <w:rPr>
          <w:sz w:val="20"/>
          <w:szCs w:val="20"/>
          <w:color w:val="auto"/>
        </w:rPr>
      </w:pPr>
    </w:p>
    <w:p>
      <w:pPr>
        <w:ind w:left="98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$24.6 million from our Capital platform primarily driven by management fees from TPG X which was activated in the third quarter of 2025, partially offset by a step-down in the fee basis of TPG IX from committed to invested capital in the fourth quarter of 2025;</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 million from our Growth platform primarily due to new capital raised for Growth VI during the last twelve months, resulting in a larger fee-earning commitment base;</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of $9.3 million from our Impact platform primarily due to fees earned from Rise IV following its activation in the first quarter of 2026 and catch-up fees earned from Rise Climate II;</w:t>
      </w:r>
    </w:p>
    <w:p>
      <w:pPr>
        <w:spacing w:after="0" w:line="161" w:lineRule="exact"/>
        <w:rPr>
          <w:rFonts w:ascii="Times New Roman" w:cs="Times New Roman" w:eastAsia="Times New Roman" w:hAnsi="Times New Roman"/>
          <w:sz w:val="18"/>
          <w:szCs w:val="18"/>
          <w:b w:val="1"/>
          <w:bCs w:val="1"/>
          <w:i w:val="1"/>
          <w:iCs w:val="1"/>
          <w:color w:val="auto"/>
        </w:rPr>
      </w:pPr>
    </w:p>
    <w:p>
      <w:pPr>
        <w:ind w:left="980" w:right="2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$14.3 million from our Credit platform primarily driven by a higher fee basis across Credit Solutions III, MMDL V and ABC Evergreen as a result of new investments. These increases were partially offset by a decline in fee-earning AUM within MMDL III;</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$11.5 million from our Real Estate platform primarily driven by the impact of catch-up fees recognized in Europe Realty IV during the three months ended March 31, 2025; and</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$22.0 million from our Market Solutions platform primarily driven by the addition of management fees from TPG Peppertree which was acquired in July 2025.</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Catch-up fees totaled $6.4 million during the three months ended March 31, 2026 and primarily consisted of $3.4 million for TPG X and $2.9 million for Rise Climate 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revenues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60" w:type="dxa"/>
            <w:vAlign w:val="bottom"/>
            <w:tcBorders>
              <w:bottom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Fee-Related Performance Revenues</w:t>
            </w:r>
          </w:p>
        </w:tc>
        <w:tc>
          <w:tcPr>
            <w:tcW w:w="136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w:t>
            </w:r>
          </w:p>
        </w:tc>
      </w:tr>
      <w:tr>
        <w:trPr>
          <w:trHeight w:val="20"/>
        </w:trPr>
        <w:tc>
          <w:tcPr>
            <w:tcW w:w="7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Fee-related performance revenues increased $2.0 million, or 32%, for the three months ended March 31, 2026 compared to the three months ended March 31, 2025 due to higher incentive fees from TCAP.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Monitoring and Other Fees, Net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transaction, monitoring and other fees, net in our platforms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2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47,434</w:t>
            </w:r>
          </w:p>
        </w:tc>
      </w:tr>
      <w:tr>
        <w:trPr>
          <w:trHeight w:val="223"/>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53,973</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Transaction, Monitoring and Other Fees, Net</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73,856</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monitoring and other fees, net increased $17.0 million, or 30%, for the three months ended March 31, 2026 compared to the three months ended March 31, 2025. This change was primarily driven by an increase in our Market Solutions platform as a result of capital markets activity among our portfolio companies involving our broker-dealer.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Expenses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Fee-related expenses increased $15.6 million, or 5%, during the three months ended March 31, 2026 compared to the three months ended March 31, 2025. This change was primarily due to an increase in cash-based compensation and benefits, net of $14.8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Compensation and Benefits,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cash-based compensation and benefits, net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98,567</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92,075</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81,284</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and other</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Reimbursements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(28,177)</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(26,449)</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Cash-Based Compensation and Benefits, Net</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208,312</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Cash-based compensation and benefits, net increased $14.8 million, or 8%, for the three months ended March 31, 2026 compared to the three months ended March 31, 2025. This change was primarily driven by higher salary and benefit costs associated with increased headcount.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compensation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60" w:type="dxa"/>
            <w:vAlign w:val="bottom"/>
            <w:tcBorders>
              <w:bottom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Fee-related Performance Compensation</w:t>
            </w:r>
          </w:p>
        </w:tc>
        <w:tc>
          <w:tcPr>
            <w:tcW w:w="136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1"/>
        </w:trPr>
        <w:tc>
          <w:tcPr>
            <w:tcW w:w="7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fee-related performance compensation increased $1.0 million for the three months ended March 31, 2026 compared to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Net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decreased $0.2 million for the three months ended March 31, 2026 compared to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Performance Allocations,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performance allocations, net from our platforms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2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Performance Allocations, Net</w:t>
            </w:r>
          </w:p>
        </w:tc>
        <w:tc>
          <w:tcPr>
            <w:tcW w:w="134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67,745</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39,621</w:t>
            </w:r>
          </w:p>
        </w:tc>
      </w:tr>
      <w:tr>
        <w:trPr>
          <w:trHeight w:val="20"/>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Realized performance allocations, net of $67.7 million for the three months ended March 31, 2026 were generated primarily from realizations of $29.0 million from TPG IX and $12.1 million from THP II in the Capital platform, $8.5 million from Growth V in the Growth platform and $11.5 million from Rise Climate I in the Impact platform. The activity consisted of realizations sourced from portfolio companies including OneOncology, Anovo and Intersect Power.</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Realized performance allocations, net of $39.6 million for the three months ended March 31, 2025 were generated from realizations of $16.9 million from TPG VII and $9.8 million from TPG VIII in the Capital platform, $4.5 million from Rise Climate I in the Impact platform and $2.5 million from MMDL IV in the Credit platform. The activity consisted of realizations sourced from portfolio companies including Viking Cruises and DirecTV.</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Investment Income and Other,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investment income and other, net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30,808</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Non-core expense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(17,966)</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(21,522)</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Investment Income and Other, Net</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12,842</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change in realized investment income and other, net of $16.8 million during the three months ended March 31, 2026 compared to the three months ended March 31, 2025 is primarily due to an increase in realizations from certain investments and a decrease in our non-core expense. Our non-core activity includes expenses of $12.9 million related to our unoccupied lease space and $2.1 million for strategic transaction activity for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increased $0.7 million for the three months ended March 31, 2026 compared to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interest expense, net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80" w:type="dxa"/>
            <w:vAlign w:val="bottom"/>
            <w:tcBorders>
              <w:bottom w:val="single" w:sz="8" w:color="auto"/>
            </w:tcBorders>
            <w:gridSpan w:val="4"/>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2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32,660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24,055</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(6,750)</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(9,563)</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25,910</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14,492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increased $11.4 million for the three months ended March 31, 2026 compared to the three months ended March 31, 2025, primarily due to an increase in outstanding principal balances on our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DE for the three months ended March 31, 2026 compared to the three months ended March 31, 2025 was primarily due to an increase in FRE and realized performance allocations, net, partially offset by an increase in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taxes increased $3.3 million, or 30%, for the three months ended March 31, 2026 compared to the three months ended March 31, 2025 primarily due to an increase in the current payable under the Tax Receivable Agreement related to the three months ended March 31,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U.S. GAAP Measures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financial measures calculated and presented in accordance with U.S.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for the three months ended March 31, 2026 and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bottom w:val="single" w:sz="8" w:color="auto"/>
            </w:tcBorders>
            <w:gridSpan w:val="6"/>
          </w:tcPr>
          <w:p>
            <w:pPr>
              <w:jc w:val="center"/>
              <w:ind w:left="75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tcPr>
          <w:p>
            <w:pPr>
              <w:spacing w:after="0"/>
              <w:rPr>
                <w:sz w:val="21"/>
                <w:szCs w:val="21"/>
                <w:color w:val="auto"/>
              </w:rPr>
            </w:pPr>
          </w:p>
        </w:tc>
        <w:tc>
          <w:tcPr>
            <w:tcW w:w="426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Revenue</w:t>
            </w:r>
          </w:p>
        </w:tc>
        <w:tc>
          <w:tcPr>
            <w:tcW w:w="2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500,006</w:t>
            </w:r>
          </w:p>
        </w:tc>
        <w:tc>
          <w:tcPr>
            <w:tcW w:w="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1,034,876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Capital-allocation based loss (income)</w:t>
            </w: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120,016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reimbursements</w:t>
            </w:r>
          </w:p>
        </w:tc>
        <w:tc>
          <w:tcPr>
            <w:tcW w:w="2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Investment income and other</w:t>
            </w:r>
          </w:p>
        </w:tc>
        <w:tc>
          <w:tcPr>
            <w:tcW w:w="27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Fee-Related Revenues</w:t>
            </w:r>
          </w:p>
        </w:tc>
        <w:tc>
          <w:tcPr>
            <w:tcW w:w="2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557,180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476,264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2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300" w:type="dxa"/>
            <w:vAlign w:val="bottom"/>
            <w:gridSpan w:val="2"/>
            <w:vMerge w:val="continue"/>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69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26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Expenses</w:t>
            </w:r>
          </w:p>
        </w:tc>
        <w:tc>
          <w:tcPr>
            <w:tcW w:w="27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648,607</w:t>
            </w:r>
          </w:p>
        </w:tc>
        <w:tc>
          <w:tcPr>
            <w:tcW w:w="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(41,752)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(32,738)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reimbursements</w:t>
            </w: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(56,684)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2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Non-core expenses and other</w:t>
            </w:r>
          </w:p>
        </w:tc>
        <w:tc>
          <w:tcPr>
            <w:tcW w:w="27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(18,158)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Fee-Related Expenses</w:t>
            </w:r>
          </w:p>
        </w:tc>
        <w:tc>
          <w:tcPr>
            <w:tcW w:w="27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7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8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(123,276)</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(income) attributable to other non-controlling interests</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(74,534)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expense</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performance allocations, net</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(45,825)</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investment income</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(17,668)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(31,722)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Non-recurring and other</w:t>
            </w:r>
          </w:p>
        </w:tc>
        <w:tc>
          <w:tcPr>
            <w:tcW w:w="1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(39,621)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246,893</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Accrued Performance</w:t>
            </w: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18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920" w:type="dxa"/>
            <w:vAlign w:val="bottom"/>
            <w:gridSpan w:val="7"/>
          </w:tcPr>
          <w:p>
            <w:pPr>
              <w:ind w:left="124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0" w:type="dxa"/>
            <w:vAlign w:val="bottom"/>
          </w:tcPr>
          <w:p>
            <w:pPr>
              <w:spacing w:after="0"/>
              <w:rPr>
                <w:sz w:val="1"/>
                <w:szCs w:val="1"/>
                <w:color w:val="auto"/>
              </w:rPr>
            </w:pP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Investments</w:t>
            </w:r>
          </w:p>
        </w:tc>
        <w:tc>
          <w:tcPr>
            <w:tcW w:w="18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9,049,455</w:t>
            </w: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(2,203,946)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(5,014,659)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Impact of other consolidated entities</w:t>
            </w:r>
          </w:p>
        </w:tc>
        <w:tc>
          <w:tcPr>
            <w:tcW w:w="18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(643,040)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1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1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monitor certain operating metrics that are common to the alternative asset management industry and that we believe provide important data regarding our business. The following operating metrics do not include other investments that are not included in the TPG Operating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Under Management (“AUM”) represents the sum of:</w:t>
      </w:r>
    </w:p>
    <w:p>
      <w:pPr>
        <w:spacing w:after="0" w:line="225" w:lineRule="exact"/>
        <w:rPr>
          <w:sz w:val="20"/>
          <w:szCs w:val="20"/>
          <w:color w:val="auto"/>
        </w:rPr>
      </w:pPr>
    </w:p>
    <w:p>
      <w:pPr>
        <w:jc w:val="both"/>
        <w:ind w:left="980" w:hanging="486"/>
        <w:spacing w:after="0" w:line="258" w:lineRule="auto"/>
        <w:tabs>
          <w:tab w:leader="none" w:pos="9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w:t>
      </w:r>
    </w:p>
    <w:p>
      <w:pPr>
        <w:spacing w:after="0" w:line="18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 of assets (including leverage where applicable) for our real estate investment trusts and BDCs;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certain of our hedge funds; and</w:t>
      </w:r>
    </w:p>
    <w:p>
      <w:pPr>
        <w:spacing w:after="0" w:line="225"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par amount of collateral assets, including principal cash, for our collateralized loan obligation vehicles.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definition of AUM is not based on any definition of AUM that may be set forth in the agreements governing the investment funds that we manage, or calculated pursuant to any regulatory definitions.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AUM by platform as of March 31, 2026 and 2025:</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76,016</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28,791</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73,430</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36,686</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AUM as of end of period</w:t>
            </w: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306,182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rollforwards of our total AUM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303,029</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Raised</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Realizations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30"/>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Changes in Investment Value and Other</w:t>
            </w:r>
            <w:r>
              <w:rPr>
                <w:rFonts w:ascii="Times New Roman" w:cs="Times New Roman" w:eastAsia="Times New Roman" w:hAnsi="Times New Roman"/>
                <w:sz w:val="23"/>
                <w:szCs w:val="23"/>
                <w:color w:val="auto"/>
                <w:vertAlign w:val="superscript"/>
              </w:rPr>
              <w:t>(2)</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AUM as of end of period</w:t>
            </w:r>
          </w:p>
        </w:tc>
        <w:tc>
          <w:tcPr>
            <w:tcW w:w="130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306,182</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250,621</w:t>
            </w:r>
          </w:p>
        </w:tc>
      </w:tr>
      <w:tr>
        <w:trPr>
          <w:trHeight w:val="21"/>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Outflows represent redemptions and withdrawals.</w:t>
      </w:r>
    </w:p>
    <w:p>
      <w:pPr>
        <w:spacing w:after="0" w:line="55" w:lineRule="exact"/>
        <w:rPr>
          <w:rFonts w:ascii="Times New Roman" w:cs="Times New Roman" w:eastAsia="Times New Roman" w:hAnsi="Times New Roman"/>
          <w:sz w:val="14"/>
          <w:szCs w:val="14"/>
          <w:color w:val="auto"/>
        </w:rPr>
      </w:pPr>
    </w:p>
    <w:p>
      <w:pPr>
        <w:ind w:left="500" w:hanging="492"/>
        <w:spacing w:after="0" w:line="271"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Investment Value and Other consists of changes in fair value, capital invested, available capital and net fund-level asset related leverage activity plus other investment activities.</w:t>
      </w:r>
    </w:p>
    <w:p>
      <w:pPr>
        <w:spacing w:after="0" w:line="3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AUM increased approximately $3.2 billion during the three months ended March 31, 2026. This increase was led by $10.3 billion of capital raised primarily attributable to fundraising activities of TPG X within the Capital platform, Rise IV within the Impact platform, Asset Based Finance within the Credit platform, Net Lease Realty V within the Real Estate platform and T-POP within the Market Solutions platform. These increases were partially offset by realization activities in TPG IX and THP II within the Capital platform, Rise Climate I within the Impact platform and Credit Solutions II within the Credit platform during the three months ended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Fee-Earning Assets Under Management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Fee-earning AUM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FAUM by platform as of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860" w:type="dxa"/>
            <w:vAlign w:val="bottom"/>
            <w:tcBorders>
              <w:bottom w:val="single" w:sz="8" w:color="CCEEFF"/>
            </w:tcBorders>
          </w:tcPr>
          <w:p>
            <w:pPr>
              <w:spacing w:after="0"/>
              <w:rPr>
                <w:sz w:val="21"/>
                <w:szCs w:val="21"/>
                <w:color w:val="auto"/>
              </w:rPr>
            </w:pPr>
          </w:p>
        </w:tc>
        <w:tc>
          <w:tcPr>
            <w:tcW w:w="31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3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w:t>
            </w:r>
          </w:p>
        </w:tc>
        <w:tc>
          <w:tcPr>
            <w:tcW w:w="3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Growth</w:t>
            </w:r>
          </w:p>
        </w:tc>
        <w:tc>
          <w:tcPr>
            <w:tcW w:w="3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w:t>
            </w:r>
          </w:p>
        </w:tc>
        <w:tc>
          <w:tcPr>
            <w:tcW w:w="3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Credit</w:t>
            </w:r>
          </w:p>
        </w:tc>
        <w:tc>
          <w:tcPr>
            <w:tcW w:w="3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Market Solutions</w:t>
            </w:r>
          </w:p>
        </w:tc>
        <w:tc>
          <w:tcPr>
            <w:tcW w:w="31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FAUM as of end of period</w:t>
            </w:r>
          </w:p>
        </w:tc>
        <w:tc>
          <w:tcPr>
            <w:tcW w:w="3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175,372</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78</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rollforwards of our FAUM for the three months ended March 31,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170,102</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141,286</w:t>
            </w:r>
          </w:p>
        </w:tc>
      </w:tr>
      <w:tr>
        <w:trPr>
          <w:trHeight w:val="229"/>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Fee-Earning Capital Raised</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Deployment</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29"/>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Realizations</w:t>
            </w:r>
            <w:r>
              <w:rPr>
                <w:rFonts w:ascii="Times New Roman" w:cs="Times New Roman" w:eastAsia="Times New Roman" w:hAnsi="Times New Roman"/>
                <w:sz w:val="23"/>
                <w:szCs w:val="23"/>
                <w:color w:val="auto"/>
                <w:vertAlign w:val="superscript"/>
              </w:rPr>
              <w:t>(3)</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29"/>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 in Fee Base</w:t>
            </w:r>
            <w:r>
              <w:rPr>
                <w:rFonts w:ascii="Times New Roman" w:cs="Times New Roman" w:eastAsia="Times New Roman" w:hAnsi="Times New Roman"/>
                <w:sz w:val="23"/>
                <w:szCs w:val="23"/>
                <w:color w:val="auto"/>
                <w:vertAlign w:val="superscript"/>
              </w:rPr>
              <w:t>(4)</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0"/>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(5)</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Market Activity and Other</w:t>
            </w:r>
            <w:r>
              <w:rPr>
                <w:rFonts w:ascii="Times New Roman" w:cs="Times New Roman" w:eastAsia="Times New Roman" w:hAnsi="Times New Roman"/>
                <w:sz w:val="23"/>
                <w:szCs w:val="23"/>
                <w:color w:val="auto"/>
                <w:vertAlign w:val="superscript"/>
              </w:rPr>
              <w:t>(6)</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FAUM as of end of period</w:t>
            </w:r>
          </w:p>
        </w:tc>
        <w:tc>
          <w:tcPr>
            <w:tcW w:w="130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175,372</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142,794</w:t>
            </w:r>
          </w:p>
        </w:tc>
      </w:tr>
      <w:tr>
        <w:trPr>
          <w:trHeight w:val="20"/>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Fee-Earning Capital Raised represents capital raised by our funds for which management fees calculated based on commitments or subscriptions were activated during the period.</w:t>
      </w:r>
    </w:p>
    <w:p>
      <w:pPr>
        <w:spacing w:after="0" w:line="5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Deployment represents increases in investment cost and CLO collateral assets, as well as capital called for investments.</w:t>
      </w:r>
    </w:p>
    <w:p>
      <w:pPr>
        <w:spacing w:after="0" w:line="68"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Realizations represent decreases in investment cost and CLO collateral assets, as well as distributions of investment related proceeds.</w:t>
      </w:r>
    </w:p>
    <w:p>
      <w:pPr>
        <w:spacing w:after="0" w:line="68"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Outflows represent redemptions and withdrawals.</w:t>
      </w:r>
    </w:p>
    <w:p>
      <w:pPr>
        <w:spacing w:after="0" w:line="55" w:lineRule="exact"/>
        <w:rPr>
          <w:rFonts w:ascii="Times New Roman" w:cs="Times New Roman" w:eastAsia="Times New Roman" w:hAnsi="Times New Roman"/>
          <w:sz w:val="14"/>
          <w:szCs w:val="14"/>
          <w:color w:val="auto"/>
        </w:rPr>
      </w:pPr>
    </w:p>
    <w:p>
      <w:pPr>
        <w:ind w:left="500" w:hanging="492"/>
        <w:spacing w:after="0" w:line="302"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Activity and Other represents income activity for our funds for which management fees are calculated based on invested net capital or net asset value, as well as foreign exchange fluctuations.</w:t>
      </w:r>
    </w:p>
    <w:p>
      <w:pPr>
        <w:spacing w:after="0" w:line="16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FAUM increased $5.3 billion during the three months ended March 31, 2026, primarily driven by $5.2 billion in fee-earning capital raised. This activity was led by the activation of THP III during the first quarter of 2026 and subsequent closing of TPG X following its activation during the third quarter of 2025 within the Capital platform, the activation of TPG Sports during the first quarter of 2026 within the Growth platform and the initial close for Rise Climate IV during the first quarter of 2026 within the Impact platform. Deployment added $4.7 billion to FAUM primarily driven by TPG Atlas within the Growth platform, MMDL V, ABC Evergreen and ABC Fund II within the Credit platform and TRECO within the Real Estate platform. These increases were partially offset by realizations of $4.2 billion primarily attributable to TPG IX within the Capital platform, Rise Climate I within the Impact platform, and Credit Solutions II, Essential Housing II and MMDL IV within the Credit platform. For the three months ended March 31, 2026, annualized weighted average management fees as a percentage of FAUM, which represent annualized management fees divided by the average of each applicable period’s FAUM were 1.10%.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Accrued Performance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below summarize our net accrued performance by fund vintage year and platform as of March 31, 2026 and 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704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1531"/>
              <w:spacing w:after="0"/>
              <w:rPr>
                <w:sz w:val="20"/>
                <w:szCs w:val="20"/>
                <w:color w:val="auto"/>
              </w:rPr>
            </w:pPr>
            <w:r>
              <w:rPr>
                <w:rFonts w:ascii="Times New Roman" w:cs="Times New Roman" w:eastAsia="Times New Roman" w:hAnsi="Times New Roman"/>
                <w:sz w:val="16"/>
                <w:szCs w:val="16"/>
                <w:b w:val="1"/>
                <w:bCs w:val="1"/>
                <w:color w:val="auto"/>
              </w:rPr>
              <w:t>($ in millions)</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 Vintage</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2020 &amp; Prior</w:t>
            </w:r>
          </w:p>
        </w:tc>
        <w:tc>
          <w:tcPr>
            <w:tcW w:w="1580" w:type="dxa"/>
            <w:vAlign w:val="bottom"/>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1580" w:type="dxa"/>
            <w:vAlign w:val="bottom"/>
            <w:tcBorders>
              <w:bottom w:val="single" w:sz="8" w:color="auto"/>
            </w:tcBorders>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1,188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0"/>
        </w:trPr>
        <w:tc>
          <w:tcPr>
            <w:tcW w:w="70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544"/>
        </w:trPr>
        <w:tc>
          <w:tcPr>
            <w:tcW w:w="704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0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531"/>
              <w:spacing w:after="0"/>
              <w:rPr>
                <w:sz w:val="20"/>
                <w:szCs w:val="20"/>
                <w:color w:val="auto"/>
              </w:rPr>
            </w:pPr>
            <w:r>
              <w:rPr>
                <w:rFonts w:ascii="Times New Roman" w:cs="Times New Roman" w:eastAsia="Times New Roman" w:hAnsi="Times New Roman"/>
                <w:sz w:val="16"/>
                <w:szCs w:val="16"/>
                <w:b w:val="1"/>
                <w:bCs w:val="1"/>
                <w:color w:val="auto"/>
              </w:rPr>
              <w:t>($ in millions)</w:t>
            </w: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1580" w:type="dxa"/>
            <w:vAlign w:val="bottom"/>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w:t>
            </w:r>
          </w:p>
        </w:tc>
        <w:tc>
          <w:tcPr>
            <w:tcW w:w="1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w:t>
            </w:r>
          </w:p>
        </w:tc>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1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1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1580" w:type="dxa"/>
            <w:vAlign w:val="bottom"/>
            <w:tcBorders>
              <w:bottom w:val="single" w:sz="8" w:color="auto"/>
            </w:tcBorders>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1,188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0"/>
        </w:trPr>
        <w:tc>
          <w:tcPr>
            <w:tcW w:w="70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accrued performance was primarily driven by TPG VIII, TPG IX, Asia VII, Growth IV, Growth V and Rise Climate I as of March 31, 2026 and TPG VIII, TPG IX, Asia VII, Growth V and Growth IV as of December 31, 2025.</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utilize Performance Generating AUM and Performance Eligible AUM as key metrics to understand AUM that could produce performance allocations or fee-related performance revenues. Performance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Performance Generating AUM totaled $208.5 billion and $208.8 billion as of March 31, 2026 and December 31, 2025, respectively. Across the investment funds that we manage, Performance Eligible AUM totaled $252.8 billion and $254.3 billion as of March 31,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AUM Subject to Fee-Earning Growth</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AUM Subject to Fee-Earning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Step-Up).</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AUM Not Yet Earning Fees represents the amount of capital commitments to TPG’s funds and co-investment vehicles that has not yet been invested or considered active, and as this capital is invested or activated, the fee-paying portion will be included in FAUM.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reflects AUM Subject to Fee-Earning Growth by platform as of March 31, 2026 and 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70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4"/>
          </w:tcPr>
          <w:p>
            <w:pPr>
              <w:jc w:val="right"/>
              <w:ind w:right="1531"/>
              <w:spacing w:after="0"/>
              <w:rPr>
                <w:sz w:val="20"/>
                <w:szCs w:val="20"/>
                <w:color w:val="auto"/>
              </w:rPr>
            </w:pPr>
            <w:r>
              <w:rPr>
                <w:rFonts w:ascii="Times New Roman" w:cs="Times New Roman" w:eastAsia="Times New Roman" w:hAnsi="Times New Roman"/>
                <w:sz w:val="16"/>
                <w:szCs w:val="16"/>
                <w:b w:val="1"/>
                <w:bCs w:val="1"/>
                <w:color w:val="auto"/>
              </w:rPr>
              <w:t>($ in millions)</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AUM Not Yet Earning Fees: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3"/>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AUM Not Yet Earning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28,658</w:t>
            </w:r>
          </w:p>
        </w:tc>
      </w:tr>
      <w:tr>
        <w:trPr>
          <w:trHeight w:val="257"/>
        </w:trPr>
        <w:tc>
          <w:tcPr>
            <w:tcW w:w="7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FAUM Subject to Step-Up:</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7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FAUM Subject to Step-Up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w:t>
            </w:r>
          </w:p>
        </w:tc>
      </w:tr>
      <w:tr>
        <w:trPr>
          <w:trHeight w:val="248"/>
        </w:trPr>
        <w:tc>
          <w:tcPr>
            <w:tcW w:w="7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AUM Subject to Fee-Earning Growth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AUM Not Yet Earning Fees was $32.6 billion, which primarily consisted of TPG IX and TPG VIII within the Capital platform, Growth V and TDM within the Growth platform, Rise Climate I within the Impact platform, Credit Solutions III, MMDL VI and MMDL V within the Credit platform and TRECO and Net Lease Realty V within the Real Estate platform.</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Associated with FAUM Subject to Step-Up, management fee rates for these respective underlying funds or certain investors range between 0.35% and 1.65% and step-up to rates in the range of 0.47% and 1.8% after capital is invested or as a fund reaches a certain point in its life where the fee rate for certain investors increases. FAUM Subject to Step-Up as of March 31, 2026 relates primarily to TPG X within the Capital platform, MMDL V, Credit Solutions III and ABC Fund II within the Credit platform, Asia Realty V within the Real Estate platform and T-POP within the Market Solutions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Raised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raised is the aggregate amount of subscriptions and capital raised by our investment funds and co-investment vehicles during a given period, as well as the senior and subordinated notes issued through our CLOs and equity raised through our perpetual vehicles. We believe this measure is useful to investors as it measures access to capital across TPG and our ability to grow our management fee base.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capital raised by platform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Capital Raised</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raised totaled approximately $10.3 billion for the three months ended March 31, 2026. This was primarily attributable to the fundraising activities of TPG X within the Capital platform, Rise IV within the Impact platform, Asset-Based Finance within the Credit platform, Net Lease V within the Real Estate platform and T-POP within the Market Solutions platform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Capital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Available capital is the aggregate amount of unfunded capital commitments and recallable distributions that partners have committed to our funds and co-investment vehicles to fund future investments. Available capital is reduced for investments completed using fund-level subscription-related credit facilities. We believe this measure is useful to investors as it provides additional insight into the amount of capital that is available to our investment funds and co-investment vehicles to make future investments.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available capital by platform as of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72,790</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Available capital totaled $72.8 billion as of March 31, 2026, primarily attributable to TPG X, TPG IX, Asia VIII, THP II and TPG VIII within the Capital platform, Growth VI, Growth V and TPG Sports within the Growth platform, Rise Climate II and Rise Climate I within the Impact platform, Asset-Based Finance, Credit Solutions III and MMDL VI within the Credit platform, TREP IV, Europe Realty IV, TRECO, Asia Realty V and TREP III within the Real Estate platform and TGS II and Peppertree X within the Market Solutions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Invested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invested is the aggregate amount of capital invested during a given period by our investment funds, co-investment vehicles and CLOs, as well as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capital invested by platform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Capital Invested</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invested was $14.4 billion for the three months ended March 31, 2026, which was primarily attributable to TPG X within the Capital platform, TPG Atlas within the Growth platform, ABC Evergreen, ABC Fund II and MMDL V within the Credit platform, TREP IV within the Real Estate platform and T-POP within the Market Solutions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Realizations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Realizations represent proceeds from the disposition of investments and current income, and in the case of credit funds, distributions sourced from realization proceeds.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realizations by platform for the three months ended March 31,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Realizations</w:t>
            </w:r>
          </w:p>
        </w:tc>
        <w:tc>
          <w:tcPr>
            <w:tcW w:w="1380" w:type="dxa"/>
            <w:vAlign w:val="bottom"/>
            <w:tcBorders>
              <w:bottom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Realizations were $8.7 billion for the three months ended March 31, 2026, primarily attributable to realization activities in TPG IX and THP II within the Capital platform, Rise Climate I within the Impact platform and Credit Solutions II within the Credit platform during the three months ended March 31,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Fund performance information for our investment funds as of March 31, 2026 is included throughout this discussion and analysis to facilitate an understanding of our results of operations for the periods presented. These fund performance metrics do not include co-investment vehicles, SMAs or certain other legacy or discontinued funds. Additionally, these fund performance metrics exclude the firm’s CLOs and real estate investment trusts.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Risk Factors—Risks Related to Our Business— Our funds’ historical returns should not be considered as indicative of our or our funds’ future results or of any returns expected on an investment in our Class A common stock.”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reflect the performance of our selected funds as of March 31, 2026 ($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gridSpan w:val="2"/>
          </w:tcPr>
          <w:p>
            <w:pPr>
              <w:jc w:val="center"/>
              <w:ind w:left="408"/>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120" w:type="dxa"/>
            <w:vAlign w:val="bottom"/>
          </w:tcPr>
          <w:p>
            <w:pPr>
              <w:spacing w:after="0"/>
              <w:rPr>
                <w:sz w:val="12"/>
                <w:szCs w:val="12"/>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Net MoM</w:t>
            </w:r>
            <w:r>
              <w:rPr>
                <w:rFonts w:ascii="Times New Roman" w:cs="Times New Roman" w:eastAsia="Times New Roman" w:hAnsi="Times New Roman"/>
                <w:sz w:val="16"/>
                <w:szCs w:val="16"/>
                <w:b w:val="1"/>
                <w:bCs w:val="1"/>
                <w:color w:val="auto"/>
                <w:w w:val="93"/>
                <w:vertAlign w:val="superscript"/>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300" w:type="dxa"/>
            <w:vAlign w:val="bottom"/>
            <w:gridSpan w:val="2"/>
          </w:tcPr>
          <w:p>
            <w:pPr>
              <w:jc w:val="center"/>
              <w:ind w:left="408"/>
              <w:spacing w:after="0"/>
              <w:rPr>
                <w:sz w:val="20"/>
                <w:szCs w:val="20"/>
                <w:color w:val="auto"/>
              </w:rPr>
            </w:pPr>
            <w:r>
              <w:rPr>
                <w:rFonts w:ascii="Times New Roman" w:cs="Times New Roman" w:eastAsia="Times New Roman" w:hAnsi="Times New Roman"/>
                <w:sz w:val="13"/>
                <w:szCs w:val="13"/>
                <w:b w:val="1"/>
                <w:bCs w:val="1"/>
                <w:color w:val="auto"/>
                <w:w w:val="85"/>
              </w:rPr>
              <w:t>Year</w:t>
            </w:r>
            <w:r>
              <w:rPr>
                <w:rFonts w:ascii="Times New Roman" w:cs="Times New Roman" w:eastAsia="Times New Roman" w:hAnsi="Times New Roman"/>
                <w:sz w:val="16"/>
                <w:szCs w:val="16"/>
                <w:b w:val="1"/>
                <w:bCs w:val="1"/>
                <w:color w:val="auto"/>
                <w:w w:val="85"/>
                <w:vertAlign w:val="superscript"/>
              </w:rPr>
              <w:t>(1)</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Invested</w:t>
            </w:r>
            <w:r>
              <w:rPr>
                <w:rFonts w:ascii="Times New Roman" w:cs="Times New Roman" w:eastAsia="Times New Roman" w:hAnsi="Times New Roman"/>
                <w:sz w:val="16"/>
                <w:szCs w:val="16"/>
                <w:b w:val="1"/>
                <w:bCs w:val="1"/>
                <w:color w:val="auto"/>
                <w:w w:val="90"/>
                <w:vertAlign w:val="superscript"/>
              </w:rPr>
              <w:t>(3)</w:t>
            </w: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6"/>
                <w:szCs w:val="16"/>
                <w:color w:val="auto"/>
              </w:rPr>
            </w:pPr>
          </w:p>
        </w:tc>
        <w:tc>
          <w:tcPr>
            <w:tcW w:w="9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60" w:type="dxa"/>
            <w:vAlign w:val="bottom"/>
            <w:gridSpan w:val="2"/>
            <w:vMerge w:val="continue"/>
          </w:tcPr>
          <w:p>
            <w:pPr>
              <w:spacing w:after="0"/>
              <w:rPr>
                <w:sz w:val="16"/>
                <w:szCs w:val="16"/>
                <w:color w:val="auto"/>
              </w:rPr>
            </w:pPr>
          </w:p>
        </w:tc>
        <w:tc>
          <w:tcPr>
            <w:tcW w:w="74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MoM</w:t>
            </w:r>
            <w:r>
              <w:rPr>
                <w:rFonts w:ascii="Times New Roman" w:cs="Times New Roman" w:eastAsia="Times New Roman" w:hAnsi="Times New Roman"/>
                <w:sz w:val="8"/>
                <w:szCs w:val="8"/>
                <w:b w:val="1"/>
                <w:bCs w:val="1"/>
                <w:color w:val="auto"/>
              </w:rPr>
              <w:t>(7)</w:t>
            </w:r>
          </w:p>
        </w:tc>
        <w:tc>
          <w:tcPr>
            <w:tcW w:w="8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Capital</w:t>
            </w:r>
          </w:p>
        </w:tc>
        <w:tc>
          <w:tcPr>
            <w:tcW w:w="1080" w:type="dxa"/>
            <w:vAlign w:val="bottom"/>
            <w:tcBorders>
              <w:bottom w:val="single" w:sz="8" w:color="CCEEFF"/>
            </w:tcBorders>
            <w:gridSpan w:val="4"/>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Capital Funds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Air Partners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IV</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VII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VIII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IX</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X</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Capital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93,218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82,247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122,251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30,782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153,033</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23%</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Asia Funds</w:t>
            </w:r>
          </w:p>
        </w:tc>
        <w:tc>
          <w:tcPr>
            <w:tcW w:w="1520" w:type="dxa"/>
            <w:vAlign w:val="bottom"/>
            <w:tcBorders>
              <w:bottom w:val="single" w:sz="8" w:color="CCEEFF"/>
            </w:tcBorders>
            <w:gridSpan w:val="7"/>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0.9x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IV</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VII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VIII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Asia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19,773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17,333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24,086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10,608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34,694</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2.0x</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Healthcare Funds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THP I</w:t>
            </w:r>
          </w:p>
        </w:tc>
        <w:tc>
          <w:tcPr>
            <w:tcW w:w="1140" w:type="dxa"/>
            <w:vAlign w:val="bottom"/>
            <w:tcBorders>
              <w:top w:val="single" w:sz="8" w:color="CCEEFF"/>
            </w:tcBorders>
            <w:gridSpan w:val="5"/>
          </w:tcPr>
          <w:p>
            <w:pPr>
              <w:spacing w:after="0"/>
              <w:rPr>
                <w:sz w:val="16"/>
                <w:szCs w:val="16"/>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THP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THP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Healthcare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7,554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5,051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2,094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5,822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7,916</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Continuation Vehicles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AAF</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AION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0.7x</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Continuation Vehicles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2,875</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Growth</w:t>
            </w:r>
          </w:p>
        </w:tc>
        <w:tc>
          <w:tcPr>
            <w:tcW w:w="1060" w:type="dxa"/>
            <w:vAlign w:val="bottom"/>
            <w:tcBorders>
              <w:bottom w:val="single" w:sz="8" w:color="CCEEFF"/>
            </w:tcBorders>
            <w:gridSpan w:val="3"/>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Funds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Growth 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Growth 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Growth IV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Gator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Growth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Growth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Growth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18,741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16,671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19,003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12,131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31,134</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Tech Adjacencies Funds</w:t>
            </w:r>
          </w:p>
        </w:tc>
        <w:tc>
          <w:tcPr>
            <w:tcW w:w="7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TTAD 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TTAD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TTAD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7"/>
                <w:szCs w:val="17"/>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Tech Adjacencies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5,338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4,906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5,541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7,394</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TDM</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LSI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Atlas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Pr>
          <w:p>
            <w:pPr>
              <w:spacing w:after="0"/>
              <w:rPr>
                <w:sz w:val="16"/>
                <w:szCs w:val="16"/>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Sports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2"/>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Fund</w:t>
            </w:r>
          </w:p>
        </w:tc>
        <w:tc>
          <w:tcPr>
            <w:tcW w:w="108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0"/>
              </w:rPr>
              <w:t>Year</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1"/>
              </w:rPr>
              <w:t>MoM</w:t>
            </w:r>
            <w:r>
              <w:rPr>
                <w:rFonts w:ascii="Times New Roman" w:cs="Times New Roman" w:eastAsia="Times New Roman" w:hAnsi="Times New Roman"/>
                <w:sz w:val="16"/>
                <w:szCs w:val="16"/>
                <w:b w:val="1"/>
                <w:bCs w:val="1"/>
                <w:color w:val="auto"/>
                <w:w w:val="91"/>
                <w:vertAlign w:val="superscript"/>
              </w:rPr>
              <w:t>(7)</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Net MoM</w:t>
            </w:r>
            <w:r>
              <w:rPr>
                <w:rFonts w:ascii="Times New Roman" w:cs="Times New Roman" w:eastAsia="Times New Roman" w:hAnsi="Times New Roman"/>
                <w:sz w:val="16"/>
                <w:szCs w:val="16"/>
                <w:b w:val="1"/>
                <w:bCs w:val="1"/>
                <w:color w:val="auto"/>
                <w:w w:val="93"/>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Impact</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gridSpan w:val="4"/>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The Rise Funds</w:t>
            </w:r>
          </w:p>
        </w:tc>
        <w:tc>
          <w:tcPr>
            <w:tcW w:w="1380" w:type="dxa"/>
            <w:vAlign w:val="bottom"/>
            <w:tcBorders>
              <w:top w:val="single" w:sz="8" w:color="CCEEFF"/>
            </w:tcBorders>
            <w:gridSpan w:val="6"/>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Rise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Rise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Rise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Rise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The Rise Funds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7,907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6,800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3,004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8,130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11,134</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48"/>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Rise Climate Funds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Rise Climate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03"/>
        </w:trPr>
        <w:tc>
          <w:tcPr>
            <w:tcW w:w="20" w:type="dxa"/>
            <w:vAlign w:val="bottom"/>
          </w:tcPr>
          <w:p>
            <w:pPr>
              <w:spacing w:after="0"/>
              <w:rPr>
                <w:sz w:val="17"/>
                <w:szCs w:val="17"/>
                <w:color w:val="auto"/>
              </w:rPr>
            </w:pPr>
          </w:p>
        </w:tc>
        <w:tc>
          <w:tcPr>
            <w:tcW w:w="246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4"/>
                <w:szCs w:val="14"/>
                <w:color w:val="auto"/>
              </w:rPr>
              <w:t>Rise Climate II</w:t>
            </w:r>
            <w:r>
              <w:rPr>
                <w:rFonts w:ascii="Times New Roman" w:cs="Times New Roman" w:eastAsia="Times New Roman" w:hAnsi="Times New Roman"/>
                <w:sz w:val="18"/>
                <w:szCs w:val="18"/>
                <w:color w:val="auto"/>
                <w:vertAlign w:val="superscript"/>
              </w:rPr>
              <w:t>(11)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Rise Climate Global South</w:t>
            </w:r>
            <w:r>
              <w:rPr>
                <w:rFonts w:ascii="Times New Roman" w:cs="Times New Roman" w:eastAsia="Times New Roman" w:hAnsi="Times New Roman"/>
                <w:sz w:val="18"/>
                <w:szCs w:val="18"/>
                <w:color w:val="auto"/>
                <w:vertAlign w:val="superscript"/>
              </w:rPr>
              <w:t>(11)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Rise Climate TI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Rise Climate Funds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16,162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8,270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8,901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11,497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TSI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Evercare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NEXT</w:t>
            </w:r>
            <w:r>
              <w:rPr>
                <w:rFonts w:ascii="Times New Roman" w:cs="Times New Roman" w:eastAsia="Times New Roman" w:hAnsi="Times New Roman"/>
                <w:sz w:val="18"/>
                <w:szCs w:val="18"/>
                <w:color w:val="auto"/>
                <w:vertAlign w:val="superscript"/>
              </w:rPr>
              <w:t>(12)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0.6x</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Credit</w:t>
            </w:r>
          </w:p>
        </w:tc>
        <w:tc>
          <w:tcPr>
            <w:tcW w:w="1420" w:type="dxa"/>
            <w:vAlign w:val="bottom"/>
            <w:tcBorders>
              <w:bottom w:val="single" w:sz="8" w:color="CCEEFF"/>
            </w:tcBorders>
            <w:gridSpan w:val="8"/>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Credit Solutions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Credit Solutions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Credit Solutions I Dislocation 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Credit Solutions I Dislocation B</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Credit Solutions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Credit Solutions II Dislocation 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Credit Solutions 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Credit Solutions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13,680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8,189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5,864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5,229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11,093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48"/>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Essential Housing</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Essential Housing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Essential Housing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Essential Housing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0"/>
        </w:trPr>
        <w:tc>
          <w:tcPr>
            <w:tcW w:w="20" w:type="dxa"/>
            <w:vAlign w:val="bottom"/>
          </w:tcPr>
          <w:p>
            <w:pPr>
              <w:spacing w:after="0"/>
              <w:rPr>
                <w:sz w:val="16"/>
                <w:szCs w:val="16"/>
                <w:color w:val="auto"/>
              </w:rPr>
            </w:pPr>
          </w:p>
        </w:tc>
        <w:tc>
          <w:tcPr>
            <w:tcW w:w="2460" w:type="dxa"/>
            <w:vAlign w:val="bottom"/>
            <w:gridSpan w:val="10"/>
          </w:tcPr>
          <w:p>
            <w:pPr>
              <w:spacing w:after="0"/>
              <w:rPr>
                <w:sz w:val="20"/>
                <w:szCs w:val="20"/>
                <w:color w:val="auto"/>
              </w:rPr>
            </w:pPr>
            <w:r>
              <w:rPr>
                <w:rFonts w:ascii="Times New Roman" w:cs="Times New Roman" w:eastAsia="Times New Roman" w:hAnsi="Times New Roman"/>
                <w:sz w:val="14"/>
                <w:szCs w:val="14"/>
                <w:i w:val="1"/>
                <w:iCs w:val="1"/>
                <w:color w:val="auto"/>
              </w:rPr>
              <w:t>Essential Housing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4,795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2,371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1,689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1,289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2,978</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209"/>
        </w:trPr>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Hybrid Solutions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23"/>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Asset Based Finance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ABC Fund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6"/>
        </w:trPr>
        <w:tc>
          <w:tcPr>
            <w:tcW w:w="2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gridSpan w:val="10"/>
          </w:tcPr>
          <w:p>
            <w:pPr>
              <w:ind w:left="120"/>
              <w:spacing w:after="0"/>
              <w:rPr>
                <w:sz w:val="20"/>
                <w:szCs w:val="20"/>
                <w:color w:val="auto"/>
              </w:rPr>
            </w:pPr>
            <w:r>
              <w:rPr>
                <w:rFonts w:ascii="Times New Roman" w:cs="Times New Roman" w:eastAsia="Times New Roman" w:hAnsi="Times New Roman"/>
                <w:sz w:val="14"/>
                <w:szCs w:val="14"/>
                <w:color w:val="auto"/>
              </w:rPr>
              <w:t>ABC Fund II</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1,343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1.1x</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385"/>
        </w:trPr>
        <w:tc>
          <w:tcPr>
            <w:tcW w:w="20" w:type="dxa"/>
            <w:vAlign w:val="bottom"/>
            <w:tcBorders>
              <w:bottom w:val="single" w:sz="8" w:color="CCEEFF"/>
            </w:tcBorders>
            <w:shd w:val="clear" w:color="auto" w:fill="CCEEFF"/>
          </w:tcPr>
          <w:p>
            <w:pPr>
              <w:spacing w:after="0"/>
              <w:rPr>
                <w:sz w:val="24"/>
                <w:szCs w:val="24"/>
                <w:color w:val="auto"/>
              </w:rPr>
            </w:pPr>
          </w:p>
        </w:tc>
        <w:tc>
          <w:tcPr>
            <w:tcW w:w="246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Asset Based Finance</w:t>
            </w: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2,533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2,163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2,414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2,618</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1.2x</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149"/>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Direct Lending</w:t>
            </w:r>
            <w:r>
              <w:rPr>
                <w:rFonts w:ascii="Times New Roman" w:cs="Times New Roman" w:eastAsia="Times New Roman" w:hAnsi="Times New Roman"/>
                <w:sz w:val="17"/>
                <w:szCs w:val="17"/>
                <w:i w:val="1"/>
                <w:iCs w:val="1"/>
                <w:u w:val="single" w:color="auto"/>
                <w:color w:val="auto"/>
                <w:vertAlign w:val="superscript"/>
              </w:rPr>
              <w:t>(</w:t>
            </w:r>
            <w:r>
              <w:rPr>
                <w:rFonts w:ascii="Times New Roman" w:cs="Times New Roman" w:eastAsia="Times New Roman" w:hAnsi="Times New Roman"/>
                <w:sz w:val="17"/>
                <w:szCs w:val="17"/>
                <w:i w:val="1"/>
                <w:iCs w:val="1"/>
                <w:color w:val="auto"/>
                <w:vertAlign w:val="superscript"/>
              </w:rPr>
              <w:t>13)</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MMDL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MMDL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MMDL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MMDL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MMDL IV Annex</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MMDL 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MMDL VI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460" w:type="dxa"/>
            <w:vAlign w:val="bottom"/>
            <w:gridSpan w:val="10"/>
          </w:tcPr>
          <w:p>
            <w:pPr>
              <w:spacing w:after="0"/>
              <w:rPr>
                <w:sz w:val="20"/>
                <w:szCs w:val="20"/>
                <w:color w:val="auto"/>
              </w:rPr>
            </w:pPr>
            <w:r>
              <w:rPr>
                <w:rFonts w:ascii="Times New Roman" w:cs="Times New Roman" w:eastAsia="Times New Roman" w:hAnsi="Times New Roman"/>
                <w:sz w:val="14"/>
                <w:szCs w:val="14"/>
                <w:i w:val="1"/>
                <w:iCs w:val="1"/>
                <w:color w:val="auto"/>
              </w:rPr>
              <w:t>TPG Direct Lending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14,557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11,460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9,705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5,688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15,393</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Continuation Vehicles</w:t>
            </w:r>
          </w:p>
        </w:tc>
        <w:tc>
          <w:tcPr>
            <w:tcW w:w="1180" w:type="dxa"/>
            <w:vAlign w:val="bottom"/>
            <w:tcBorders>
              <w:bottom w:val="single" w:sz="8" w:color="CCEEFF"/>
            </w:tcBorders>
            <w:gridSpan w:val="2"/>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MMDL Continuation 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Continuation Vehicles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1,035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1,082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gridSpan w:val="2"/>
          </w:tcPr>
          <w:p>
            <w:pPr>
              <w:jc w:val="center"/>
              <w:ind w:left="309"/>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240" w:type="dxa"/>
            <w:vAlign w:val="bottom"/>
            <w:gridSpan w:val="2"/>
          </w:tcPr>
          <w:p>
            <w:pPr>
              <w:jc w:val="center"/>
              <w:ind w:left="309"/>
              <w:spacing w:after="0"/>
              <w:rPr>
                <w:sz w:val="20"/>
                <w:szCs w:val="20"/>
                <w:color w:val="auto"/>
              </w:rPr>
            </w:pPr>
            <w:r>
              <w:rPr>
                <w:rFonts w:ascii="Times New Roman" w:cs="Times New Roman" w:eastAsia="Times New Roman" w:hAnsi="Times New Roman"/>
                <w:sz w:val="13"/>
                <w:szCs w:val="13"/>
                <w:b w:val="1"/>
                <w:bCs w:val="1"/>
                <w:color w:val="auto"/>
                <w:w w:val="85"/>
              </w:rPr>
              <w:t>Year</w:t>
            </w:r>
            <w:r>
              <w:rPr>
                <w:rFonts w:ascii="Times New Roman" w:cs="Times New Roman" w:eastAsia="Times New Roman" w:hAnsi="Times New Roman"/>
                <w:sz w:val="16"/>
                <w:szCs w:val="16"/>
                <w:b w:val="1"/>
                <w:bCs w:val="1"/>
                <w:color w:val="auto"/>
                <w:w w:val="85"/>
                <w:vertAlign w:val="superscript"/>
              </w:rPr>
              <w:t>(1)</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10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MoM</w:t>
            </w:r>
            <w:r>
              <w:rPr>
                <w:rFonts w:ascii="Times New Roman" w:cs="Times New Roman" w:eastAsia="Times New Roman" w:hAnsi="Times New Roman"/>
                <w:sz w:val="16"/>
                <w:szCs w:val="16"/>
                <w:b w:val="1"/>
                <w:bCs w:val="1"/>
                <w:color w:val="auto"/>
                <w:w w:val="87"/>
                <w:vertAlign w:val="superscript"/>
              </w:rPr>
              <w:t>(7)</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Net MoM</w:t>
            </w:r>
            <w:r>
              <w:rPr>
                <w:rFonts w:ascii="Times New Roman" w:cs="Times New Roman" w:eastAsia="Times New Roman" w:hAnsi="Times New Roman"/>
                <w:sz w:val="16"/>
                <w:szCs w:val="16"/>
                <w:b w:val="1"/>
                <w:bCs w:val="1"/>
                <w:color w:val="auto"/>
                <w:w w:val="93"/>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48"/>
        </w:trPr>
        <w:tc>
          <w:tcPr>
            <w:tcW w:w="20" w:type="dxa"/>
            <w:vAlign w:val="bottom"/>
            <w:shd w:val="clear" w:color="auto" w:fill="CCEEFF"/>
          </w:tcPr>
          <w:p>
            <w:pPr>
              <w:spacing w:after="0"/>
              <w:rPr>
                <w:sz w:val="12"/>
                <w:szCs w:val="12"/>
                <w:color w:val="auto"/>
              </w:rPr>
            </w:pPr>
          </w:p>
        </w:tc>
        <w:tc>
          <w:tcPr>
            <w:tcW w:w="228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Real Estate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22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Real Estate Partners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TREP 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TREP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TREP IV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0"/>
        </w:trPr>
        <w:tc>
          <w:tcPr>
            <w:tcW w:w="20" w:type="dxa"/>
            <w:vAlign w:val="bottom"/>
          </w:tcPr>
          <w:p>
            <w:pPr>
              <w:spacing w:after="0"/>
              <w:rPr>
                <w:sz w:val="16"/>
                <w:szCs w:val="16"/>
                <w:color w:val="auto"/>
              </w:rPr>
            </w:pPr>
          </w:p>
        </w:tc>
        <w:tc>
          <w:tcPr>
            <w:tcW w:w="22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TPG Real Estate Partners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12,607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11,763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8,472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8,074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16,546</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21%</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89"/>
        </w:trPr>
        <w:tc>
          <w:tcPr>
            <w:tcW w:w="20" w:type="dxa"/>
            <w:vAlign w:val="bottom"/>
            <w:shd w:val="clear" w:color="auto" w:fill="CCEEFF"/>
          </w:tcPr>
          <w:p>
            <w:pPr>
              <w:spacing w:after="0"/>
              <w:rPr>
                <w:sz w:val="16"/>
                <w:szCs w:val="16"/>
                <w:color w:val="auto"/>
              </w:rPr>
            </w:pPr>
          </w:p>
        </w:tc>
        <w:tc>
          <w:tcPr>
            <w:tcW w:w="22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TPG AG Realty</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Realty I</w:t>
            </w:r>
          </w:p>
        </w:tc>
        <w:tc>
          <w:tcPr>
            <w:tcW w:w="1380" w:type="dxa"/>
            <w:vAlign w:val="bottom"/>
            <w:tcBorders>
              <w:top w:val="single" w:sz="8" w:color="CCEEFF"/>
            </w:tcBorders>
            <w:gridSpan w:val="4"/>
          </w:tcPr>
          <w:p>
            <w:pPr>
              <w:spacing w:after="0"/>
              <w:rPr>
                <w:sz w:val="16"/>
                <w:szCs w:val="16"/>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2.2x</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IV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VI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VII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VIII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IX</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Value 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Value XI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AG Realty</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10,441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14,789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15,172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3,960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19,132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48"/>
        </w:trPr>
        <w:tc>
          <w:tcPr>
            <w:tcW w:w="20" w:type="dxa"/>
            <w:vAlign w:val="bottom"/>
          </w:tcPr>
          <w:p>
            <w:pPr>
              <w:spacing w:after="0"/>
              <w:rPr>
                <w:sz w:val="12"/>
                <w:szCs w:val="12"/>
                <w:color w:val="auto"/>
              </w:rPr>
            </w:pPr>
          </w:p>
        </w:tc>
        <w:tc>
          <w:tcPr>
            <w:tcW w:w="22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AG Core Plus Realty</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Core Plus Realty 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Core Plus Realty 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Core Plus Realty III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6"/>
        </w:trPr>
        <w:tc>
          <w:tcPr>
            <w:tcW w:w="20" w:type="dxa"/>
            <w:vAlign w:val="bottom"/>
          </w:tcPr>
          <w:p>
            <w:pPr>
              <w:spacing w:after="0"/>
              <w:rPr>
                <w:sz w:val="17"/>
                <w:szCs w:val="17"/>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Core Plus Realty IV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AG Core Plus Realty</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3,650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5,085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6,649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6,872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49"/>
        </w:trPr>
        <w:tc>
          <w:tcPr>
            <w:tcW w:w="20" w:type="dxa"/>
            <w:vAlign w:val="bottom"/>
          </w:tcPr>
          <w:p>
            <w:pPr>
              <w:spacing w:after="0"/>
              <w:rPr>
                <w:sz w:val="12"/>
                <w:szCs w:val="12"/>
                <w:color w:val="auto"/>
              </w:rPr>
            </w:pPr>
          </w:p>
        </w:tc>
        <w:tc>
          <w:tcPr>
            <w:tcW w:w="22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Asia Realty</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Realty 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Realty 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Realty III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Realty IV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Realty 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0"/>
        </w:trPr>
        <w:tc>
          <w:tcPr>
            <w:tcW w:w="20" w:type="dxa"/>
            <w:vAlign w:val="bottom"/>
          </w:tcPr>
          <w:p>
            <w:pPr>
              <w:spacing w:after="0"/>
              <w:rPr>
                <w:sz w:val="16"/>
                <w:szCs w:val="16"/>
                <w:color w:val="auto"/>
              </w:rPr>
            </w:pPr>
          </w:p>
        </w:tc>
        <w:tc>
          <w:tcPr>
            <w:tcW w:w="22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Asia Realty</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5,311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4,422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4,299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2,006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6,305</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w w:val="99"/>
              </w:rPr>
              <w:t>Japan Value</w:t>
            </w:r>
          </w:p>
        </w:tc>
        <w:tc>
          <w:tcPr>
            <w:tcW w:w="1560" w:type="dxa"/>
            <w:vAlign w:val="bottom"/>
            <w:tcBorders>
              <w:bottom w:val="single" w:sz="8" w:color="CCEEFF"/>
            </w:tcBorders>
            <w:gridSpan w:val="6"/>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280" w:type="dxa"/>
            <w:vAlign w:val="bottom"/>
            <w:gridSpan w:val="8"/>
          </w:tcPr>
          <w:p>
            <w:pPr>
              <w:ind w:left="120"/>
              <w:spacing w:after="0" w:line="202" w:lineRule="exact"/>
              <w:rPr>
                <w:sz w:val="20"/>
                <w:szCs w:val="20"/>
                <w:color w:val="auto"/>
              </w:rPr>
            </w:pPr>
            <w:r>
              <w:rPr>
                <w:rFonts w:ascii="Times New Roman" w:cs="Times New Roman" w:eastAsia="Times New Roman" w:hAnsi="Times New Roman"/>
                <w:sz w:val="14"/>
                <w:szCs w:val="14"/>
                <w:color w:val="auto"/>
              </w:rPr>
              <w:t>Japan Value</w:t>
            </w:r>
            <w:r>
              <w:rPr>
                <w:rFonts w:ascii="Times New Roman" w:cs="Times New Roman" w:eastAsia="Times New Roman" w:hAnsi="Times New Roman"/>
                <w:sz w:val="18"/>
                <w:szCs w:val="18"/>
                <w:color w:val="auto"/>
                <w:vertAlign w:val="superscript"/>
              </w:rPr>
              <w:t>(14)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Japan Value</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417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311</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64%</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148"/>
        </w:trPr>
        <w:tc>
          <w:tcPr>
            <w:tcW w:w="20" w:type="dxa"/>
            <w:vAlign w:val="bottom"/>
          </w:tcPr>
          <w:p>
            <w:pPr>
              <w:spacing w:after="0"/>
              <w:rPr>
                <w:sz w:val="12"/>
                <w:szCs w:val="12"/>
                <w:color w:val="auto"/>
              </w:rPr>
            </w:pPr>
          </w:p>
        </w:tc>
        <w:tc>
          <w:tcPr>
            <w:tcW w:w="22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AG Europe Real Estate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 Realty 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Europe Realty 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 Realty III</w:t>
            </w:r>
            <w:r>
              <w:rPr>
                <w:rFonts w:ascii="Times New Roman" w:cs="Times New Roman" w:eastAsia="Times New Roman" w:hAnsi="Times New Roman"/>
                <w:sz w:val="18"/>
                <w:szCs w:val="18"/>
                <w:color w:val="auto"/>
                <w:vertAlign w:val="superscript"/>
              </w:rPr>
              <w:t>(15)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203"/>
        </w:trPr>
        <w:tc>
          <w:tcPr>
            <w:tcW w:w="20" w:type="dxa"/>
            <w:vAlign w:val="bottom"/>
          </w:tcPr>
          <w:p>
            <w:pPr>
              <w:spacing w:after="0"/>
              <w:rPr>
                <w:sz w:val="17"/>
                <w:szCs w:val="17"/>
                <w:color w:val="auto"/>
              </w:rPr>
            </w:pPr>
          </w:p>
        </w:tc>
        <w:tc>
          <w:tcPr>
            <w:tcW w:w="2280" w:type="dxa"/>
            <w:vAlign w:val="bottom"/>
            <w:gridSpan w:val="8"/>
          </w:tcPr>
          <w:p>
            <w:pPr>
              <w:ind w:left="120"/>
              <w:spacing w:after="0" w:line="202" w:lineRule="exact"/>
              <w:rPr>
                <w:sz w:val="20"/>
                <w:szCs w:val="20"/>
                <w:color w:val="auto"/>
              </w:rPr>
            </w:pPr>
            <w:r>
              <w:rPr>
                <w:rFonts w:ascii="Times New Roman" w:cs="Times New Roman" w:eastAsia="Times New Roman" w:hAnsi="Times New Roman"/>
                <w:sz w:val="14"/>
                <w:szCs w:val="14"/>
                <w:color w:val="auto"/>
              </w:rPr>
              <w:t>Europe Realty IV</w:t>
            </w:r>
            <w:r>
              <w:rPr>
                <w:rFonts w:ascii="Times New Roman" w:cs="Times New Roman" w:eastAsia="Times New Roman" w:hAnsi="Times New Roman"/>
                <w:sz w:val="18"/>
                <w:szCs w:val="18"/>
                <w:color w:val="auto"/>
                <w:vertAlign w:val="superscript"/>
              </w:rPr>
              <w:t>(15)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AG Europe Real Estate</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5,198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6,013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4,752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2,347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7,099</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148"/>
        </w:trPr>
        <w:tc>
          <w:tcPr>
            <w:tcW w:w="20" w:type="dxa"/>
            <w:vAlign w:val="bottom"/>
          </w:tcPr>
          <w:p>
            <w:pPr>
              <w:spacing w:after="0"/>
              <w:rPr>
                <w:sz w:val="12"/>
                <w:szCs w:val="12"/>
                <w:color w:val="auto"/>
              </w:rPr>
            </w:pPr>
          </w:p>
        </w:tc>
        <w:tc>
          <w:tcPr>
            <w:tcW w:w="22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Net Lease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Lease Realty 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Net Lease Realty 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Lease Realty III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Net Lease Realty IV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Lease Realty 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2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TPG Net Lease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3,565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6,002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7,099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1,380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8,479</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r>
        <w:trPr>
          <w:trHeight w:val="222"/>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TAC+</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TRECO</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tcPr>
          <w:p>
            <w:pPr>
              <w:jc w:val="center"/>
              <w:ind w:left="329"/>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20" w:type="dxa"/>
            <w:vAlign w:val="bottom"/>
          </w:tcPr>
          <w:p>
            <w:pPr>
              <w:spacing w:after="0"/>
              <w:rPr>
                <w:sz w:val="12"/>
                <w:szCs w:val="12"/>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220" w:type="dxa"/>
            <w:vAlign w:val="bottom"/>
            <w:gridSpan w:val="2"/>
          </w:tcPr>
          <w:p>
            <w:pPr>
              <w:jc w:val="center"/>
              <w:ind w:left="329"/>
              <w:spacing w:after="0"/>
              <w:rPr>
                <w:sz w:val="20"/>
                <w:szCs w:val="20"/>
                <w:color w:val="auto"/>
              </w:rPr>
            </w:pPr>
            <w:r>
              <w:rPr>
                <w:rFonts w:ascii="Times New Roman" w:cs="Times New Roman" w:eastAsia="Times New Roman" w:hAnsi="Times New Roman"/>
                <w:sz w:val="13"/>
                <w:szCs w:val="13"/>
                <w:b w:val="1"/>
                <w:bCs w:val="1"/>
                <w:color w:val="auto"/>
                <w:w w:val="85"/>
              </w:rPr>
              <w:t>Year</w:t>
            </w:r>
            <w:r>
              <w:rPr>
                <w:rFonts w:ascii="Times New Roman" w:cs="Times New Roman" w:eastAsia="Times New Roman" w:hAnsi="Times New Roman"/>
                <w:sz w:val="16"/>
                <w:szCs w:val="16"/>
                <w:b w:val="1"/>
                <w:bCs w:val="1"/>
                <w:color w:val="auto"/>
                <w:w w:val="85"/>
                <w:vertAlign w:val="superscript"/>
              </w:rPr>
              <w:t>(1)</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Invested</w:t>
            </w:r>
            <w:r>
              <w:rPr>
                <w:rFonts w:ascii="Times New Roman" w:cs="Times New Roman" w:eastAsia="Times New Roman" w:hAnsi="Times New Roman"/>
                <w:sz w:val="16"/>
                <w:szCs w:val="16"/>
                <w:b w:val="1"/>
                <w:bCs w:val="1"/>
                <w:color w:val="auto"/>
                <w:w w:val="90"/>
                <w:vertAlign w:val="superscript"/>
              </w:rPr>
              <w:t>(3)</w:t>
            </w: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21"/>
                <w:szCs w:val="21"/>
                <w:b w:val="1"/>
                <w:bCs w:val="1"/>
                <w:color w:val="auto"/>
                <w:w w:val="88"/>
                <w:vertAlign w:val="subscript"/>
              </w:rPr>
              <w:t>MoM</w:t>
            </w:r>
            <w:r>
              <w:rPr>
                <w:rFonts w:ascii="Times New Roman" w:cs="Times New Roman" w:eastAsia="Times New Roman" w:hAnsi="Times New Roman"/>
                <w:sz w:val="8"/>
                <w:szCs w:val="8"/>
                <w:b w:val="1"/>
                <w:bCs w:val="1"/>
                <w:color w:val="auto"/>
                <w:w w:val="88"/>
              </w:rPr>
              <w:t>(7)</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Net MoM</w:t>
            </w:r>
            <w:r>
              <w:rPr>
                <w:rFonts w:ascii="Times New Roman" w:cs="Times New Roman" w:eastAsia="Times New Roman" w:hAnsi="Times New Roman"/>
                <w:sz w:val="16"/>
                <w:szCs w:val="16"/>
                <w:b w:val="1"/>
                <w:bCs w:val="1"/>
                <w:color w:val="auto"/>
                <w:w w:val="93"/>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Market Solutions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700" w:type="dxa"/>
            <w:vAlign w:val="bottom"/>
            <w:tcBorders>
              <w:top w:val="single" w:sz="8" w:color="auto"/>
            </w:tcBorders>
            <w:gridSpan w:val="4"/>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Peppertree Funds</w:t>
            </w:r>
          </w:p>
        </w:tc>
        <w:tc>
          <w:tcPr>
            <w:tcW w:w="6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III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IV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VI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VII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VIII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IX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6"/>
        </w:trPr>
        <w:tc>
          <w:tcPr>
            <w:tcW w:w="20" w:type="dxa"/>
            <w:vAlign w:val="bottom"/>
          </w:tcPr>
          <w:p>
            <w:pPr>
              <w:spacing w:after="0"/>
              <w:rPr>
                <w:sz w:val="17"/>
                <w:szCs w:val="17"/>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X</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Peppertree Funds</w:t>
            </w: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5,628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4,260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6,607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7,530</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1.8x</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r>
      <w:tr>
        <w:trPr>
          <w:trHeight w:val="148"/>
        </w:trPr>
        <w:tc>
          <w:tcPr>
            <w:tcW w:w="20" w:type="dxa"/>
            <w:vAlign w:val="bottom"/>
          </w:tcPr>
          <w:p>
            <w:pPr>
              <w:spacing w:after="0"/>
              <w:rPr>
                <w:sz w:val="12"/>
                <w:szCs w:val="12"/>
                <w:color w:val="auto"/>
              </w:rPr>
            </w:pPr>
          </w:p>
        </w:tc>
        <w:tc>
          <w:tcPr>
            <w:tcW w:w="23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GP Solutions</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23"/>
                <w:szCs w:val="23"/>
                <w:color w:val="auto"/>
                <w:vertAlign w:val="subscript"/>
              </w:rPr>
              <w:t>TGS I</w:t>
            </w:r>
            <w:r>
              <w:rPr>
                <w:rFonts w:ascii="Times New Roman" w:cs="Times New Roman" w:eastAsia="Times New Roman" w:hAnsi="Times New Roman"/>
                <w:sz w:val="8"/>
                <w:szCs w:val="8"/>
                <w:color w:val="auto"/>
              </w:rPr>
              <w:t>(12)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03"/>
        </w:trPr>
        <w:tc>
          <w:tcPr>
            <w:tcW w:w="20" w:type="dxa"/>
            <w:vAlign w:val="bottom"/>
          </w:tcPr>
          <w:p>
            <w:pPr>
              <w:spacing w:after="0"/>
              <w:rPr>
                <w:sz w:val="17"/>
                <w:szCs w:val="17"/>
                <w:color w:val="auto"/>
              </w:rPr>
            </w:pPr>
          </w:p>
        </w:tc>
        <w:tc>
          <w:tcPr>
            <w:tcW w:w="23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TGS II</w:t>
            </w:r>
            <w:r>
              <w:rPr>
                <w:rFonts w:ascii="Times New Roman" w:cs="Times New Roman" w:eastAsia="Times New Roman" w:hAnsi="Times New Roman"/>
                <w:sz w:val="18"/>
                <w:szCs w:val="18"/>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GP Solutions</w:t>
            </w: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3,371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2,208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2,402</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87%</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66%</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48"/>
        </w:trPr>
        <w:tc>
          <w:tcPr>
            <w:tcW w:w="20" w:type="dxa"/>
            <w:vAlign w:val="bottom"/>
          </w:tcPr>
          <w:p>
            <w:pPr>
              <w:spacing w:after="0"/>
              <w:rPr>
                <w:sz w:val="12"/>
                <w:szCs w:val="12"/>
                <w:color w:val="auto"/>
              </w:rPr>
            </w:pPr>
          </w:p>
        </w:tc>
        <w:tc>
          <w:tcPr>
            <w:tcW w:w="23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NewQuest Funds</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I</w:t>
            </w:r>
            <w:r>
              <w:rPr>
                <w:rFonts w:ascii="Times New Roman" w:cs="Times New Roman" w:eastAsia="Times New Roman" w:hAnsi="Times New Roman"/>
                <w:sz w:val="18"/>
                <w:szCs w:val="18"/>
                <w:color w:val="auto"/>
                <w:vertAlign w:val="superscript"/>
              </w:rPr>
              <w:t>(12)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2.3x</w:t>
            </w:r>
          </w:p>
        </w:tc>
      </w:tr>
      <w:tr>
        <w:trPr>
          <w:trHeight w:val="203"/>
        </w:trPr>
        <w:tc>
          <w:tcPr>
            <w:tcW w:w="20" w:type="dxa"/>
            <w:vAlign w:val="bottom"/>
          </w:tcPr>
          <w:p>
            <w:pPr>
              <w:spacing w:after="0"/>
              <w:rPr>
                <w:sz w:val="17"/>
                <w:szCs w:val="17"/>
                <w:color w:val="auto"/>
              </w:rPr>
            </w:pPr>
          </w:p>
        </w:tc>
        <w:tc>
          <w:tcPr>
            <w:tcW w:w="23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II</w:t>
            </w:r>
            <w:r>
              <w:rPr>
                <w:rFonts w:ascii="Times New Roman" w:cs="Times New Roman" w:eastAsia="Times New Roman" w:hAnsi="Times New Roman"/>
                <w:sz w:val="18"/>
                <w:szCs w:val="18"/>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1.8x</w:t>
            </w: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III</w:t>
            </w:r>
            <w:r>
              <w:rPr>
                <w:rFonts w:ascii="Times New Roman" w:cs="Times New Roman" w:eastAsia="Times New Roman" w:hAnsi="Times New Roman"/>
                <w:sz w:val="18"/>
                <w:szCs w:val="18"/>
                <w:color w:val="auto"/>
                <w:vertAlign w:val="superscript"/>
              </w:rPr>
              <w:t>(12)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03"/>
        </w:trPr>
        <w:tc>
          <w:tcPr>
            <w:tcW w:w="20" w:type="dxa"/>
            <w:vAlign w:val="bottom"/>
          </w:tcPr>
          <w:p>
            <w:pPr>
              <w:spacing w:after="0"/>
              <w:rPr>
                <w:sz w:val="17"/>
                <w:szCs w:val="17"/>
                <w:color w:val="auto"/>
              </w:rPr>
            </w:pPr>
          </w:p>
        </w:tc>
        <w:tc>
          <w:tcPr>
            <w:tcW w:w="23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IV</w:t>
            </w:r>
            <w:r>
              <w:rPr>
                <w:rFonts w:ascii="Times New Roman" w:cs="Times New Roman" w:eastAsia="Times New Roman" w:hAnsi="Times New Roman"/>
                <w:sz w:val="18"/>
                <w:szCs w:val="18"/>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V</w:t>
            </w:r>
            <w:r>
              <w:rPr>
                <w:rFonts w:ascii="Times New Roman" w:cs="Times New Roman" w:eastAsia="Times New Roman" w:hAnsi="Times New Roman"/>
                <w:sz w:val="18"/>
                <w:szCs w:val="18"/>
                <w:color w:val="auto"/>
                <w:vertAlign w:val="superscript"/>
              </w:rPr>
              <w:t>(12)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84"/>
        </w:trPr>
        <w:tc>
          <w:tcPr>
            <w:tcW w:w="20" w:type="dxa"/>
            <w:vAlign w:val="bottom"/>
          </w:tcPr>
          <w:p>
            <w:pPr>
              <w:spacing w:after="0"/>
              <w:rPr>
                <w:sz w:val="15"/>
                <w:szCs w:val="15"/>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NewQuest Funds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2,930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2,705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2,438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2,295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4,733</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32%</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1.8x</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r>
    </w:tbl>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performance of our significant perpetual funds as of March 31, 2026 ($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Fund</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Vintage Year</w:t>
            </w:r>
            <w:r>
              <w:rPr>
                <w:rFonts w:ascii="Times New Roman" w:cs="Times New Roman" w:eastAsia="Times New Roman" w:hAnsi="Times New Roman"/>
                <w:sz w:val="21"/>
                <w:szCs w:val="21"/>
                <w:b w:val="1"/>
                <w:bCs w:val="1"/>
                <w:color w:val="auto"/>
                <w:vertAlign w:val="superscript"/>
              </w:rPr>
              <w:t>(1)</w:t>
            </w:r>
          </w:p>
        </w:tc>
        <w:tc>
          <w:tcPr>
            <w:tcW w:w="34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AUM</w:t>
            </w: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Return</w:t>
            </w:r>
            <w:r>
              <w:rPr>
                <w:rFonts w:ascii="Times New Roman" w:cs="Times New Roman" w:eastAsia="Times New Roman" w:hAnsi="Times New Roman"/>
                <w:sz w:val="21"/>
                <w:szCs w:val="21"/>
                <w:b w:val="1"/>
                <w:bCs w:val="1"/>
                <w:color w:val="auto"/>
                <w:vertAlign w:val="superscript"/>
              </w:rPr>
              <w:t>(10)</w:t>
            </w:r>
          </w:p>
        </w:tc>
      </w:tr>
      <w:tr>
        <w:trPr>
          <w:trHeight w:val="34"/>
        </w:trPr>
        <w:tc>
          <w:tcPr>
            <w:tcW w:w="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75"/>
        </w:trPr>
        <w:tc>
          <w:tcPr>
            <w:tcW w:w="20" w:type="dxa"/>
            <w:vAlign w:val="bottom"/>
            <w:shd w:val="clear" w:color="auto" w:fill="CCEEFF"/>
          </w:tcPr>
          <w:p>
            <w:pPr>
              <w:spacing w:after="0"/>
              <w:rPr>
                <w:sz w:val="15"/>
                <w:szCs w:val="15"/>
                <w:color w:val="auto"/>
              </w:rPr>
            </w:pPr>
          </w:p>
        </w:tc>
        <w:tc>
          <w:tcPr>
            <w:tcW w:w="618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Platform: Credit</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1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TPG Credit Solutions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Corporate Credit Opportunities</w:t>
            </w:r>
            <w:r>
              <w:rPr>
                <w:rFonts w:ascii="Times New Roman" w:cs="Times New Roman" w:eastAsia="Times New Roman" w:hAnsi="Times New Roman"/>
                <w:sz w:val="21"/>
                <w:szCs w:val="21"/>
                <w:color w:val="auto"/>
                <w:vertAlign w:val="superscript"/>
              </w:rPr>
              <w:t>(16)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20" w:type="dxa"/>
            <w:vAlign w:val="bottom"/>
          </w:tcPr>
          <w:p>
            <w:pPr>
              <w:spacing w:after="0"/>
              <w:rPr>
                <w:sz w:val="18"/>
                <w:szCs w:val="18"/>
                <w:color w:val="auto"/>
              </w:rPr>
            </w:pPr>
          </w:p>
        </w:tc>
        <w:tc>
          <w:tcPr>
            <w:tcW w:w="6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Essential Housing Evergreen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199"/>
        </w:trPr>
        <w:tc>
          <w:tcPr>
            <w:tcW w:w="20" w:type="dxa"/>
            <w:vAlign w:val="bottom"/>
            <w:shd w:val="clear" w:color="auto" w:fill="CCEEFF"/>
          </w:tcPr>
          <w:p>
            <w:pPr>
              <w:spacing w:after="0"/>
              <w:rPr>
                <w:sz w:val="17"/>
                <w:szCs w:val="17"/>
                <w:color w:val="auto"/>
              </w:rPr>
            </w:pPr>
          </w:p>
        </w:tc>
        <w:tc>
          <w:tcPr>
            <w:tcW w:w="6180" w:type="dxa"/>
            <w:vAlign w:val="bottom"/>
            <w:gridSpan w:val="8"/>
            <w:shd w:val="clear" w:color="auto" w:fill="CCEEFF"/>
          </w:tcPr>
          <w:p>
            <w:pPr>
              <w:spacing w:after="0" w:line="178" w:lineRule="exact"/>
              <w:rPr>
                <w:sz w:val="20"/>
                <w:szCs w:val="20"/>
                <w:color w:val="auto"/>
              </w:rPr>
            </w:pPr>
            <w:r>
              <w:rPr>
                <w:rFonts w:ascii="Times New Roman" w:cs="Times New Roman" w:eastAsia="Times New Roman" w:hAnsi="Times New Roman"/>
                <w:sz w:val="16"/>
                <w:szCs w:val="16"/>
                <w:i w:val="1"/>
                <w:iCs w:val="1"/>
                <w:color w:val="auto"/>
              </w:rPr>
              <w:t>TPG Asset Based Finance</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gridSpan w:val="5"/>
          </w:tcPr>
          <w:p>
            <w:pPr>
              <w:ind w:left="120"/>
              <w:spacing w:after="0" w:line="216" w:lineRule="exact"/>
              <w:rPr>
                <w:sz w:val="20"/>
                <w:szCs w:val="20"/>
                <w:color w:val="auto"/>
              </w:rPr>
            </w:pPr>
            <w:r>
              <w:rPr>
                <w:rFonts w:ascii="Times New Roman" w:cs="Times New Roman" w:eastAsia="Times New Roman" w:hAnsi="Times New Roman"/>
                <w:sz w:val="16"/>
                <w:szCs w:val="16"/>
                <w:color w:val="auto"/>
              </w:rPr>
              <w:t>MVP Fund</w:t>
            </w:r>
            <w:r>
              <w:rPr>
                <w:rFonts w:ascii="Times New Roman" w:cs="Times New Roman" w:eastAsia="Times New Roman" w:hAnsi="Times New Roman"/>
                <w:sz w:val="21"/>
                <w:szCs w:val="21"/>
                <w:color w:val="auto"/>
                <w:vertAlign w:val="superscript"/>
              </w:rPr>
              <w:t>(17)</w:t>
            </w:r>
          </w:p>
        </w:tc>
        <w:tc>
          <w:tcPr>
            <w:tcW w:w="4480" w:type="dxa"/>
            <w:vAlign w:val="bottom"/>
            <w:tcBorders>
              <w:top w:val="single" w:sz="8" w:color="CCEEFF"/>
            </w:tcBorders>
            <w:gridSpan w:val="3"/>
          </w:tcPr>
          <w:p>
            <w:pPr>
              <w:spacing w:after="0"/>
              <w:rPr>
                <w:sz w:val="18"/>
                <w:szCs w:val="18"/>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6,603</w:t>
            </w:r>
          </w:p>
        </w:tc>
        <w:tc>
          <w:tcPr>
            <w:tcW w:w="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ABC Evergreen</w:t>
            </w:r>
            <w:r>
              <w:rPr>
                <w:rFonts w:ascii="Times New Roman" w:cs="Times New Roman" w:eastAsia="Times New Roman" w:hAnsi="Times New Roman"/>
                <w:sz w:val="21"/>
                <w:szCs w:val="21"/>
                <w:color w:val="auto"/>
                <w:vertAlign w:val="superscript"/>
              </w:rPr>
              <w:t>(17)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175"/>
        </w:trPr>
        <w:tc>
          <w:tcPr>
            <w:tcW w:w="20" w:type="dxa"/>
            <w:vAlign w:val="bottom"/>
          </w:tcPr>
          <w:p>
            <w:pPr>
              <w:spacing w:after="0"/>
              <w:rPr>
                <w:sz w:val="15"/>
                <w:szCs w:val="15"/>
                <w:color w:val="auto"/>
              </w:rPr>
            </w:pPr>
          </w:p>
        </w:tc>
        <w:tc>
          <w:tcPr>
            <w:tcW w:w="61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TPG Direct Lending</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TCAP</w:t>
            </w:r>
            <w:r>
              <w:rPr>
                <w:rFonts w:ascii="Times New Roman" w:cs="Times New Roman" w:eastAsia="Times New Roman" w:hAnsi="Times New Roman"/>
                <w:sz w:val="21"/>
                <w:szCs w:val="21"/>
                <w:color w:val="auto"/>
                <w:vertAlign w:val="superscript"/>
              </w:rPr>
              <w:t>(18)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6"/>
        </w:trPr>
        <w:tc>
          <w:tcPr>
            <w:tcW w:w="20" w:type="dxa"/>
            <w:vAlign w:val="bottom"/>
          </w:tcPr>
          <w:p>
            <w:pPr>
              <w:spacing w:after="0"/>
              <w:rPr>
                <w:sz w:val="18"/>
                <w:szCs w:val="18"/>
                <w:color w:val="auto"/>
              </w:rPr>
            </w:pPr>
          </w:p>
        </w:tc>
        <w:tc>
          <w:tcPr>
            <w:tcW w:w="6180" w:type="dxa"/>
            <w:vAlign w:val="bottom"/>
            <w:gridSpan w:val="8"/>
          </w:tcPr>
          <w:p>
            <w:pPr>
              <w:ind w:left="120"/>
              <w:spacing w:after="0" w:line="216" w:lineRule="exact"/>
              <w:rPr>
                <w:sz w:val="20"/>
                <w:szCs w:val="20"/>
                <w:color w:val="auto"/>
              </w:rPr>
            </w:pPr>
            <w:r>
              <w:rPr>
                <w:rFonts w:ascii="Times New Roman" w:cs="Times New Roman" w:eastAsia="Times New Roman" w:hAnsi="Times New Roman"/>
                <w:sz w:val="16"/>
                <w:szCs w:val="16"/>
                <w:color w:val="auto"/>
              </w:rPr>
              <w:t>MMDL Evergreen</w:t>
            </w:r>
            <w:r>
              <w:rPr>
                <w:rFonts w:ascii="Times New Roman" w:cs="Times New Roman" w:eastAsia="Times New Roman" w:hAnsi="Times New Roman"/>
                <w:sz w:val="21"/>
                <w:szCs w:val="21"/>
                <w:color w:val="auto"/>
                <w:vertAlign w:val="superscript"/>
              </w:rPr>
              <w:t>(17)</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TPG Advantage Direct Lending</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175"/>
        </w:trPr>
        <w:tc>
          <w:tcPr>
            <w:tcW w:w="20" w:type="dxa"/>
            <w:vAlign w:val="bottom"/>
          </w:tcPr>
          <w:p>
            <w:pPr>
              <w:spacing w:after="0"/>
              <w:rPr>
                <w:sz w:val="15"/>
                <w:szCs w:val="15"/>
                <w:color w:val="auto"/>
              </w:rPr>
            </w:pPr>
          </w:p>
        </w:tc>
        <w:tc>
          <w:tcPr>
            <w:tcW w:w="61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TPG Multi-Asset Credit</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Dynamic Credit Income Fund</w:t>
            </w:r>
            <w:r>
              <w:rPr>
                <w:rFonts w:ascii="Times New Roman" w:cs="Times New Roman" w:eastAsia="Times New Roman" w:hAnsi="Times New Roman"/>
                <w:sz w:val="21"/>
                <w:szCs w:val="21"/>
                <w:color w:val="auto"/>
                <w:vertAlign w:val="superscript"/>
              </w:rPr>
              <w:t>(17)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56"/>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auto"/>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Platform: Market Solutions</w:t>
            </w:r>
          </w:p>
        </w:tc>
        <w:tc>
          <w:tcPr>
            <w:tcW w:w="432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r>
      <w:tr>
        <w:trPr>
          <w:trHeight w:val="279"/>
        </w:trPr>
        <w:tc>
          <w:tcPr>
            <w:tcW w:w="20" w:type="dxa"/>
            <w:vAlign w:val="bottom"/>
          </w:tcPr>
          <w:p>
            <w:pPr>
              <w:spacing w:after="0"/>
              <w:rPr>
                <w:sz w:val="24"/>
                <w:szCs w:val="24"/>
                <w:color w:val="auto"/>
              </w:rPr>
            </w:pPr>
          </w:p>
        </w:tc>
        <w:tc>
          <w:tcPr>
            <w:tcW w:w="6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T-POP</w:t>
            </w:r>
            <w:r>
              <w:rPr>
                <w:rFonts w:ascii="Times New Roman" w:cs="Times New Roman" w:eastAsia="Times New Roman" w:hAnsi="Times New Roman"/>
                <w:sz w:val="21"/>
                <w:szCs w:val="21"/>
                <w:color w:val="auto"/>
                <w:vertAlign w:val="superscript"/>
              </w:rPr>
              <w:t>(19)</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Past performance is not indicative of future results.</w:t>
      </w:r>
    </w:p>
    <w:p>
      <w:pPr>
        <w:spacing w:after="0" w:line="69" w:lineRule="exact"/>
        <w:rPr>
          <w:sz w:val="20"/>
          <w:szCs w:val="20"/>
          <w:color w:val="auto"/>
        </w:rPr>
      </w:pPr>
    </w:p>
    <w:p>
      <w:pPr>
        <w:jc w:val="both"/>
        <w:ind w:left="500"/>
        <w:spacing w:after="0" w:line="301" w:lineRule="auto"/>
        <w:rPr>
          <w:sz w:val="20"/>
          <w:szCs w:val="20"/>
          <w:color w:val="auto"/>
        </w:rPr>
      </w:pPr>
      <w:r>
        <w:rPr>
          <w:rFonts w:ascii="Times New Roman" w:cs="Times New Roman" w:eastAsia="Times New Roman" w:hAnsi="Times New Roman"/>
          <w:sz w:val="14"/>
          <w:szCs w:val="14"/>
          <w:color w:val="auto"/>
        </w:rPr>
        <w:t>“NM” signifies that the relevant data would not be meaningful. Performance metrics are generally deemed “NM” when, among other reasons, there has been limited time since initial investment.</w:t>
      </w:r>
    </w:p>
    <w:p>
      <w:pPr>
        <w:spacing w:after="0" w:line="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4"/>
          <w:szCs w:val="14"/>
          <w:color w:val="auto"/>
        </w:rPr>
        <w:t>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Amounts shown are in U.S. dollars.</w:t>
      </w:r>
    </w:p>
    <w:p>
      <w:pPr>
        <w:spacing w:after="0" w:line="69" w:lineRule="exact"/>
        <w:rPr>
          <w:sz w:val="20"/>
          <w:szCs w:val="20"/>
          <w:color w:val="auto"/>
        </w:rPr>
      </w:pPr>
    </w:p>
    <w:p>
      <w:pPr>
        <w:jc w:val="both"/>
        <w:ind w:left="500" w:right="20"/>
        <w:spacing w:after="0" w:line="301" w:lineRule="auto"/>
        <w:rPr>
          <w:sz w:val="20"/>
          <w:szCs w:val="20"/>
          <w:color w:val="auto"/>
        </w:rPr>
      </w:pPr>
      <w:r>
        <w:rPr>
          <w:rFonts w:ascii="Times New Roman" w:cs="Times New Roman" w:eastAsia="Times New Roman" w:hAnsi="Times New Roman"/>
          <w:sz w:val="14"/>
          <w:szCs w:val="14"/>
          <w:color w:val="auto"/>
        </w:rPr>
        <w:t>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w:t>
      </w:r>
    </w:p>
    <w:p>
      <w:pPr>
        <w:spacing w:after="0" w:line="1" w:lineRule="exact"/>
        <w:rPr>
          <w:sz w:val="20"/>
          <w:szCs w:val="20"/>
          <w:color w:val="auto"/>
        </w:rPr>
      </w:pPr>
    </w:p>
    <w:p>
      <w:pPr>
        <w:ind w:left="500" w:hanging="492"/>
        <w:spacing w:after="0" w:line="282"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Vintage Year represents the year in which the fund consummated its first investment (or, if earlier, received its first capital contributions from investors). For platforms other than Credit, for consistency with prior reporting, however, the Vintage Year classification of any fund that held its initial closing before 2018 represents the year of such fund’s initial closing.</w:t>
      </w:r>
    </w:p>
    <w:p>
      <w:pPr>
        <w:spacing w:after="0" w:line="13"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Committed represents the amount of inception-to-date commitments a particular fund has received. Certain of our newer vintage funds are actively fundraising and capital committed is subject to change.</w:t>
      </w:r>
    </w:p>
    <w:p>
      <w:pPr>
        <w:spacing w:after="0" w:line="1" w:lineRule="exact"/>
        <w:rPr>
          <w:rFonts w:ascii="Times New Roman" w:cs="Times New Roman" w:eastAsia="Times New Roman" w:hAnsi="Times New Roman"/>
          <w:sz w:val="14"/>
          <w:szCs w:val="14"/>
          <w:color w:val="auto"/>
        </w:rPr>
      </w:pPr>
    </w:p>
    <w:p>
      <w:pPr>
        <w:ind w:left="500" w:right="20" w:hanging="492"/>
        <w:spacing w:after="0" w:line="282"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Invested represents cash outlays by the fund for its investments, whether funded through investor capital contributions or borrowing under the fund’s credit facility. For Credit funds, Capital Invested represents inception-to-date investor contributed capital net of returned contributions, excluding borrowings under the fund’s credit facility.</w:t>
      </w:r>
    </w:p>
    <w:p>
      <w:pPr>
        <w:spacing w:after="0" w:line="13" w:lineRule="exact"/>
        <w:rPr>
          <w:rFonts w:ascii="Times New Roman" w:cs="Times New Roman" w:eastAsia="Times New Roman" w:hAnsi="Times New Roman"/>
          <w:sz w:val="14"/>
          <w:szCs w:val="14"/>
          <w:color w:val="auto"/>
        </w:rPr>
      </w:pPr>
    </w:p>
    <w:p>
      <w:pPr>
        <w:ind w:left="500" w:right="20" w:hanging="492"/>
        <w:spacing w:after="0" w:line="301"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Value represents total cash received or earned by the fund in respect of such investment or investments through the period end, including all interest, dividends and other proceeds. For Credit funds, Realized Value represents inception-to-date capital distributed by the fund, including any performance distributions net of recalled distributions, if any.</w:t>
      </w:r>
    </w:p>
    <w:p>
      <w:pPr>
        <w:spacing w:after="0" w:line="1" w:lineRule="exact"/>
        <w:rPr>
          <w:rFonts w:ascii="Times New Roman" w:cs="Times New Roman" w:eastAsia="Times New Roman" w:hAnsi="Times New Roman"/>
          <w:sz w:val="14"/>
          <w:szCs w:val="14"/>
          <w:color w:val="auto"/>
        </w:rPr>
      </w:pPr>
    </w:p>
    <w:p>
      <w:pPr>
        <w:jc w:val="both"/>
        <w:ind w:left="500" w:right="20" w:hanging="492"/>
        <w:spacing w:after="0" w:line="266"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w:t>
      </w:r>
    </w:p>
    <w:p>
      <w:pPr>
        <w:spacing w:after="0" w:line="2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Value is the sum of Realized Value and Unrealized Value of investments.</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internal rate of return (“Gross IRR”) and Gross multiple of money (“Gross MoM”) represent investment level performance by the fund and incorporates the impact of fund level credit facilities, to the extent utilized by the fund. Gross IRR and Gross MoM exclude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w:t>
      </w:r>
    </w:p>
    <w:p>
      <w:pPr>
        <w:spacing w:after="0" w:line="23"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w:t>
      </w:r>
    </w:p>
    <w:p>
      <w:pPr>
        <w:spacing w:after="0" w:line="23"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w:t>
      </w:r>
    </w:p>
    <w:p>
      <w:pPr>
        <w:spacing w:after="0" w:line="1" w:lineRule="exact"/>
        <w:rPr>
          <w:rFonts w:ascii="Times New Roman" w:cs="Times New Roman" w:eastAsia="Times New Roman" w:hAnsi="Times New Roman"/>
          <w:sz w:val="14"/>
          <w:szCs w:val="14"/>
          <w:color w:val="auto"/>
        </w:rPr>
      </w:pPr>
    </w:p>
    <w:p>
      <w:pPr>
        <w:ind w:left="500" w:hanging="492"/>
        <w:spacing w:after="0" w:line="301" w:lineRule="auto"/>
        <w:tabs>
          <w:tab w:leader="none" w:pos="49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represents net performance data for investors (excluding certain classes/series with special fee arrangements), net of all expenses including actual quarterly management fees payable by the fund and the accrual of carried interest to the general partner.</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95" w:lineRule="auto"/>
        <w:tabs>
          <w:tab w:leader="none" w:pos="49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Rise Climate Global South Fund excludes a $500 million commitment ($450 million of which was closed as of March 31, 2026) from ALTÉRRA Transformation LP made to a separate vehicle for purposes of deploying catalytic capital in connection with investments located in the Global South made by the Rise Climate II Fund and the Rise Climate Global South Fund.</w:t>
      </w:r>
    </w:p>
    <w:p>
      <w:pPr>
        <w:spacing w:after="0" w:line="17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specified, the fund performance information presented above for certain funds is, due to the nature of their strategy, as of December 31, 2025.</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TPG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Direct Lending funds on a consolidated basis were: (i) for the onshore unlevered vehicles, 7% and 1.3x, (ii) for the offshore levered vehicles, 9% and 1.3x and (iii) for the offshore unlevered vehicles, 7% and 1.2x.</w:t>
      </w:r>
    </w:p>
    <w:p>
      <w:pPr>
        <w:spacing w:after="0" w:line="4" w:lineRule="exact"/>
        <w:rPr>
          <w:rFonts w:ascii="Times New Roman" w:cs="Times New Roman" w:eastAsia="Times New Roman" w:hAnsi="Times New Roman"/>
          <w:sz w:val="14"/>
          <w:szCs w:val="14"/>
          <w:color w:val="auto"/>
        </w:rPr>
      </w:pPr>
    </w:p>
    <w:p>
      <w:pPr>
        <w:ind w:left="500" w:hanging="492"/>
        <w:spacing w:after="0" w:line="301" w:lineRule="auto"/>
        <w:tabs>
          <w:tab w:leader="none" w:pos="49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Japanese-Yen denominated fund. Commitments, Capital Invested and Realized Value are calculated using the exchange rate at the end of the quarter in which the relevant commitment was made or transaction occurred, as applicable.</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72" w:lineRule="auto"/>
        <w:tabs>
          <w:tab w:leader="none" w:pos="49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(4%) and 0.9x and (ii) for the euro-denominated vehicle of Europe Realty IV, 4% and 1.0x</w:t>
      </w:r>
    </w:p>
    <w:p>
      <w:pPr>
        <w:spacing w:after="0" w:line="195"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includes onshore investors participating directly through the master fund and investors through the offshore vehicle. Total Return for the offshore vehicle was 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right="20" w:hanging="492"/>
        <w:spacing w:after="0" w:line="301" w:lineRule="auto"/>
        <w:tabs>
          <w:tab w:leader="none" w:pos="49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Returns for onshore funds only. Total Returns for the offshore vehicles were: (i) for the MVP Fund, 11%, (ii) for ABC Evergreen, 22%, (iii) for MMDL Offshore Evergreen, 9%, and (iv) for Dynamic Credit Income Fund (formerly Super Fund), 8%. MMDL Lux Offshore was recently launched and does not yet have a meaningful Total Return.</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6" w:lineRule="auto"/>
        <w:tabs>
          <w:tab w:leader="none" w:pos="49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w:t>
      </w:r>
    </w:p>
    <w:p>
      <w:pPr>
        <w:spacing w:after="0" w:line="25" w:lineRule="exact"/>
        <w:rPr>
          <w:rFonts w:ascii="Times New Roman" w:cs="Times New Roman" w:eastAsia="Times New Roman" w:hAnsi="Times New Roman"/>
          <w:sz w:val="14"/>
          <w:szCs w:val="14"/>
          <w:color w:val="auto"/>
        </w:rPr>
      </w:pPr>
    </w:p>
    <w:p>
      <w:pPr>
        <w:ind w:left="500" w:hanging="492"/>
        <w:spacing w:after="0" w:line="282" w:lineRule="auto"/>
        <w:tabs>
          <w:tab w:leader="none" w:pos="49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T-POP Total Return reflects a per unit return based on Class R-I, including reinvestment of any dividends received during the period (if applicable), and no upfront selling commission, net of all fees and expenses incurred by T-POP. Total Return for Class R-S is 24%.</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historically derived revenues primarily from third-party assets under management and have required limited capital resources to support the working capital or operating needs of our business. We believe that our current sources of liquidity described below are sufficient to meet our projected capital needs and other obligations as they arise for at least the next twelve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our total liquidity was $2,806.4 million, comprised of $851.4 million of cash and cash equivalents, excluding $13.3 million of restricted cash, as well as $1,625.0 million, $30.0 million and $300.0 million of incremental borrowing capacity under the Senior Unsecured Revolving Credit Facility, Subordinated Credit Facility and 364-Day Credit Facility, respectively. Total cash of $864.7 million as of March 31, 2026 includes $88.7 million of cash that is attributable to the TPG Operating Group and on balance sheet securitization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multiple sources of liquidity to meet our capital needs, including:</w:t>
      </w:r>
    </w:p>
    <w:p>
      <w:pPr>
        <w:spacing w:after="0" w:line="225" w:lineRule="exact"/>
        <w:rPr>
          <w:sz w:val="20"/>
          <w:szCs w:val="20"/>
          <w:color w:val="auto"/>
        </w:rPr>
      </w:pPr>
    </w:p>
    <w:p>
      <w:pPr>
        <w:ind w:left="98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by our operating activities, such as management fees, monitoring, transaction and other fees, realized capital allocation-based income and investment sales from our consolidated funds;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investing activities, including amounts received from notes receivable from affiliates;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our financing activities, including cash and funds available under our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consolidated cash, cash equivalents and restricted cash totaled approximately $864.7 million at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Revolving Credit Facility</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March 2011, TPG Holdings, L.P. entered into a $400.0 million credit facility. As of March 31, 2026, the Senior Unsecured Revolving Credit Facility, as currently amended, had aggregate revolving commitments of $1.75 billion and a maturity date of May 30, 2030.</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Dollar-denominated principal amounts outstanding under the Senior Unsecured Revolving Credit Facility accrue interest, at the option of the applicable borrower, either (i) at a base rate plus applicable margin not to exceed 0.20% per annum or (ii) at a term SOFR rate plus a 0.10% per annum adjustment and an applicable margin not to exceed 1.20%. We are also required to pay a quarterly commitment fee on the unused commitments under the Senior Unsecured Revolving Credit Facility not to exceed 0.15% per annum, as well as certain customary fees for any issued letters of credit.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26, 2026, the Notes Issuer completed an offering of $500.0 million aggregate principal amount of Senior Notes due 2031. The 2031 Senior Notes will mature on May 15, 2031, unless earlier accelerated, redeemed or repurchased. The 2031 Senior Notes are fully and unconditionally guaranteed, jointly and severally, by each of the Guarantors, and are unsecured and unsubordinated obligations of the Notes Issuer and the Guarantors. The 2031 Senior Notes bear interest at a rate of 4.875% per annum, which is payable semi-annually in arrears on May 15 and November 15 of each year, beginning on November 15, 2026. The 2031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14, 2025, the Notes Issuer issued in an SEC-registered offering $500.0 million aggregate principal amount of Senior Notes due 2036. The 2036 Senior Notes will mature on January 15, 2036, unless earlier accelerated, redeemed or repurchased. The 2036 Senior Notes are fully and unconditionally guaranteed, jointly and severally, by each of the Guarantors, and are unsecured and unsubordinated obligations of the Notes Issuer and the Guarantors. The 2036 Senior Notes bear interest at a rate of 5.375% per annum. Interest on the 2036 Senior Notes is payable semi-annually in arrears on January 15 and July 15 of each year, beginning on January 15, 2026. The 2036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5, 2024, the Notes Issuer issued in an SEC-registered offering $600.0 million aggregate principal amount of Senior Notes due 2034. The 2034 Senior Notes will mature on March 5, 2034, unless earlier accelerated, redeemed or repurchased. The 2034 Senior Notes are fully and unconditionally guaranteed, jointly and severally, by each of the Guarantors, and are unsecured and unsubordinated obligations of the Notes Issuer and the Guarantors. The 2034 Senior Notes bear interest at a rate of 5.875% per annum. Interest on the 2034 Senior Notes is payable semi-annually in arrears on March 5 and September 5 of each year, beginning on September 5, 2024. The 2034 Senior Notes contain certain covenants as set forth in the 2034 Senior Notes’ Indenture and First Supplement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Senior Notes and the payment of any Senior Notes guarantee will:</w:t>
      </w:r>
    </w:p>
    <w:p>
      <w:pPr>
        <w:spacing w:after="0" w:line="225" w:lineRule="exact"/>
        <w:rPr>
          <w:sz w:val="20"/>
          <w:szCs w:val="20"/>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unsecured and unsubordinated indebtedness, liabilities and other obligations of the Notes Issuer or the relevant Guarantor, including indebtedness under the Amended Senior Unsecured Revolving Credit Facility;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existing and future subordinated indebtedness, liabilities and other obligations of the Notes Issuer or the relevant Guarantor;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Notes Issuer or the relevant Guarantor, to the extent of the value of the assets securing such indebtedness;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in right of payment to all existing and future indebtedness, liabilities and other obligations of each subsidiary of the Issuer or the relevant Guarantor that is not itself the Notes Issuer or a Guarantor.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4, 2024, the Notes Issuer issued in an SEC-registered offering $400.0 million aggregate principal amount of Fixed-Rate Junior Subordinated Notes due 2064. The Subordinated Notes bear interest at a rate of 6.950% per annum. Interest on the Subordinated Notes is payable quarterly in arrears on March 15, June 15, September 15 and December 15 of each year, beginning on June 15, 2024, subject to the Notes Issuer’s right, on one or more occasions, to defer the payment of interest on the notes for up to five consecutive years. The Subordinated Notes are fully and unconditionally guaranteed, jointly and severally, by each of the Guarantors, and are unsecured and subordinated obligations of the Notes Issuer and the Guarantors. The Subordinated Notes will mature on March 15, 2064, unless earlier accelerated, redeemed or repurchased. The Subordinated Notes may be redeemed at the Notes Issuer’s option (i) in whole at any time or in part from time to time on or after March 15, 2029 at a redemption price equal to their principal amount plus any accrued and unpaid interest, (ii) upon occurrence of a Tax Redemption Event, as defined in the Subordinated Notes’ First Supplemental Indenture, at a price equal to 100% of their principal amount plus any accrued and unpaid interest or (iii) in whole, but not in part, at any time prior to March 15, 2029, upon the occurrence of a Rating Agency Event, as defined in the Subordinated Notes’ First Supplemental Indenture, at a price equal to 102% of their principal amount plus any accrued and unpaid interest. The Subordinated Notes contain certain covenants as set forth in the Subordinated Notes’ Indenture and First Supplemental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Subordinated Notes and the payment of any Subordinated Notes guarantee will:</w:t>
      </w:r>
    </w:p>
    <w:p>
      <w:pPr>
        <w:spacing w:after="0" w:line="225" w:lineRule="exact"/>
        <w:rPr>
          <w:sz w:val="20"/>
          <w:szCs w:val="20"/>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subordinate and rank junior in right of payment to all existing and future senior indebtedness, including indebtedness under the Senior Unsecured Revolving Credit Facility;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parity indebtedness;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Notes Issuer or the relevant Guarantor, to the extent of the value of the assets securing such indebtedness;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in right of payment to all existing and future indebtedness, liabilities and other obligations (including policyholder liabilities and other payables) of each subsidiary of the Notes Issuer or the relevant Guarantor that is not itself the Notes Issuer or a Guarantor.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Notes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March 31, 2026, we had $250.0 million aggregate principal amount of Secured Notes outstanding. Our Secured Notes are issued using on-balance sheet securitization vehicles. The Secured Notes are required to be repaid only from collections on the underlying securitized equity method investments and restricted cash of the securitization vehicles. The Secured Notes consist of two tranches, both of which mature in June 2038. Tranche A Secured Notes were issued in May 2018 at a fixed rate of 5.33% with an aggregate principal balance of $200.0 million, with interest payable semiannually. Tranche B Secured Notes were issued in October 2019 at a fixed rate of 4.75% with an aggregate principal balance of $50.0 million, with interest payable semiannually. The Secured Notes contain an optional redemption feature giving us the right to call the notes in full or in part. If the Secured Notes are not redeemed on or prior to June 20, 2028, we will pay additional interest equal to 4.00% per annum.</w:t>
      </w:r>
    </w:p>
    <w:p>
      <w:pPr>
        <w:spacing w:after="0" w:line="18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Secured Notes contain covenants and conditions customary in transactions of this nature, including negative pledge provisions, default provisions and financial covenants and limitations on certain consolidations, mergers and sales of assets. As of March 31, 2026, we were in compliance with these covenants and conditions.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Credit Facility</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August 2014, one of our consolidated subsidiaries entered into two $15.0 million subordinated revolving credit facilities, for a total commitment of $30.0 million. The Subordinated Credit Facility is available for direct borrowings and is guaranteed by certain members of TPG Operating Group. In August 2025, the subsidiary extended the maturity date of the Subordinated Credit Facility from August 2026 to August 2027. The interest rate for borrowings under the Subordinated Credit Facility is calculated at a term Secured Overnight Financing Rate (“SOFR”) rate plus a 0.10% per annum adjustment and 2.25%.</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subsidiary did not borrow or make repayments on the Subordinated Credit Facility, resulting in no amounts outstanding as of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Credit Facility</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April 14, 2023, a consolidated subsidiary of the Company entered into a 364-day revolving credit facility with Mizuho Bank, Ltd., acting as administrative agent, to provide the subsidiary with revolving borrowings of up to $150.0 million. The facility was amended in April 2025 to increase the aggregate principal amount of the existing commitments to $300.0 million and further amended in April 2026 to extend the commitment termination date to April 7, 2027.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pay a quarterly facility fee equal to 0.30% per annum of the total facility capacity of $300.0 million, as well as certain customary fees for any issued loans.</w:t>
      </w:r>
    </w:p>
    <w:p>
      <w:pPr>
        <w:spacing w:after="0" w:line="19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entered into an equity commitment letter in connection with the 364-Day Credit Facility, committing to provide capital contributions, if and when required, to the consolidated subsidiary throughout the life of the facility.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subsidiary borrowed $8.0 million and made repayments of $8.0 million on the 364-Day Credit Facility, resulting in no amounts outstanding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Needs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that our primary liquidity needs include cash required to:</w:t>
      </w:r>
    </w:p>
    <w:p>
      <w:pPr>
        <w:spacing w:after="0" w:line="225" w:lineRule="exact"/>
        <w:rPr>
          <w:sz w:val="20"/>
          <w:szCs w:val="20"/>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working capital needs;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cash operating expenses, including compensation and contingencies, including for clawback obligations or litigation matters;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debt obligations, including the payment of obligations at maturity, on interest payment dates or upon redemption, as well as any contingent liabilities that may give rise to future cash payments;</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growing our businesses, including seeding new strategies, pursuing strategic investments or acquisitions, funding our capital commitments made to existing and future funds and co-investments, meeting any net capital requirements of our broker-dealer or funding obligations of our capital markets business and otherwise supporting investment vehicles that we sponsor;</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amounts that may become due under the Tax Receivable Agreement;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earnouts and contingent cash consideration associated with our acquisitions;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in accordance with our dividend policy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investments or seed portfolios for the benefit of one or more of our funds or other investment vehicles pending the expected contribution of committed capital by the investors in such vehicles and advance capital to them for other operational needs;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retention for CLOs;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capital needs of regulated and other subsidiaries, including our broker-dealer;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tax withholding obligations in connection with net share settlements of equity-based awards;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Common Units pursuant to the Exchange Agreement or repurchase or redeem other securities issued by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1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require future cash payments. The following table sets forth information regarding our anticipated future cash payments under our contractual obligations as of March 31, 2026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2031 and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on debt obligations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2,034,951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1,383,719</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645,860</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6,176,389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824,227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226,700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4,279,579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line="301" w:lineRule="auto"/>
        <w:tabs>
          <w:tab w:leader="none" w:pos="49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obligations presented in the table reflect scheduled principal payments related to the Secured Notes, 2034 Senior Notes, 2036 Senior Notes, 2031 Senior Notes, Subordinated Notes and Senior Unsecured Revolving Credit Facility.</w:t>
      </w:r>
    </w:p>
    <w:p>
      <w:pPr>
        <w:spacing w:after="0" w:line="1" w:lineRule="exact"/>
        <w:rPr>
          <w:rFonts w:ascii="Times New Roman" w:cs="Times New Roman" w:eastAsia="Times New Roman" w:hAnsi="Times New Roman"/>
          <w:sz w:val="14"/>
          <w:szCs w:val="14"/>
          <w:color w:val="auto"/>
        </w:rPr>
      </w:pPr>
    </w:p>
    <w:p>
      <w:pPr>
        <w:ind w:left="500" w:hanging="492"/>
        <w:spacing w:after="0" w:line="282" w:lineRule="auto"/>
        <w:tabs>
          <w:tab w:leader="none" w:pos="49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payments on our debt obligations include estimated future interest payments based on the terms of the debt agreements. See Note 8 to the Condensed Consolidated Financial Statements for further discussion of these debt obligations.</w:t>
      </w:r>
    </w:p>
    <w:p>
      <w:pPr>
        <w:spacing w:after="0" w:line="13" w:lineRule="exact"/>
        <w:rPr>
          <w:rFonts w:ascii="Times New Roman" w:cs="Times New Roman" w:eastAsia="Times New Roman" w:hAnsi="Times New Roman"/>
          <w:sz w:val="14"/>
          <w:szCs w:val="14"/>
          <w:color w:val="auto"/>
        </w:rPr>
      </w:pPr>
    </w:p>
    <w:p>
      <w:pPr>
        <w:jc w:val="both"/>
        <w:ind w:left="500" w:hanging="492"/>
        <w:spacing w:after="0" w:line="295" w:lineRule="auto"/>
        <w:tabs>
          <w:tab w:leader="none" w:pos="49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commitments represent our obligations to provide general partner capital funding to the TPG funds. These amounts are generally due on demand, and accordingly, have been presented as obligations payable in the “2026” column. We generally utilize proceeds from return of capital distributions and proceeds from our Secured Notes to help fund these commitments.</w:t>
      </w:r>
    </w:p>
    <w:p>
      <w:pPr>
        <w:spacing w:after="0" w:line="18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tenant improvement allowances. Operating lease cash flows for 2026 include a net inflow resulting from expected tenant improvement allowance receipts.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Contingent Obligations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if all investments held by the TPG funds were liquidated at their current unrealized fair value, there would be clawback of $6.2 million and $7.9 million, respectively, primarily related to Asia V, for which a performance allocation reserve was recorded within other liabilities in the Condensed Consolidated Statements of Financial Condition. During the three months ended March 31, 2026, the general partners made no payments on the clawback liability. Additionally, if all remaining investments were deemed worthless, a possibility management views as remote, the amount of performance allocations subject to potential clawback as of March 31, 2026 and December 31, 2025 would be $2,663.4 million and $2,456.5 million, respectively.</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had guarantees outstanding totaling $84.0 million and $168.4 million, respectively, related to a third-party lending program that enables certain of our eligible employees to obtain financing for capital contributions into TPG funds with a maximum potential exposure of $350.6 million and $348.7 million,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Class A common stock, which were made at the sole discretion of our Executive Committee and Board of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8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per Class A Common Share</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19, 2025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 2025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6, 2025</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18, 2025</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 2025</w:t>
            </w:r>
          </w:p>
        </w:tc>
        <w:tc>
          <w:tcPr>
            <w:tcW w:w="1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4, 2025</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14, 2025</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w:t>
            </w:r>
          </w:p>
        </w:tc>
        <w:tc>
          <w:tcPr>
            <w:tcW w:w="1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5, 2026</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1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56"/>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2025 Dividend Year</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2025)</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2026</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11, 2026</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2026</w:t>
            </w: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156"/>
        </w:trPr>
        <w:tc>
          <w:tcPr>
            <w:tcW w:w="2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2026 Dividend Year</w:t>
            </w: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Q1 2026)</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certain holders of Common Units, including certain partners and employees, are authorized to exchange Common Units for an equal number of shares of Class A common stock. During the three months ended March 31, 2025, certain holders of Common Units exchanged Common Units for an equal number of shares of Class A common stock resulting in the issuance of shares of Class A common stock and the cancellation of an equal number of shares of Class B common stock for no additional consideration. Such issuances of shares of Class A common stock to such holders of Common Units were registered pursuant to the Company’s registration statements on Form S-3 filed on November 2, 2023 and September 13, 2024. During the three months ended March 31, 2026, there were no Common Units exchanged for Class A common stock.</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exchanges resulted in an increase in the tax basis of our investment in the TPG Operating Group and are subject to the Tax Receivable Agreement. During the three months ended March 31, 2026, the Company made payments of $29.9 million in connection with the liability associated with the Tax Receivable Agreement. A portion of this liability is attributed to Related Parties and is recorded in due to affiliates and the remaining portion attributable to non-affiliates is recorded in other liabilities. As of March 31, 2026 and December 31, 2025, the portion included in due to affiliates in the Condensed Consolidated Statements of Financial Condition, was $475.5 million and $495.1 million, respectively. As of March 31, 2026 and December 31, 2025, amounts due to non-affiliates included in other liabilities were $306.7 million and $316.5 million,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80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198,188</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(516,265)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365,095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(177,777)</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839,271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821,192</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864,650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835,256</w:t>
            </w:r>
          </w:p>
        </w:tc>
      </w:tr>
      <w:tr>
        <w:trPr>
          <w:trHeight w:val="21"/>
        </w:trPr>
        <w:tc>
          <w:tcPr>
            <w:tcW w:w="7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$176.5 million and $198.2 million for the three months ended March 31, 2026 and 2025. Key drivers consisted of performance allocation and investment proceeds totaling $609.4 million, partially offset by purchases of investments of $450.4 million, as well as other changes in operating assets and liabilities during the three months ended March 31, 2026. Cash provided by operating activities consisted of performance allocation and investment proceeds totaling $430.4 million, partially offset by other changes in operating assets and liabilities for the three months ended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totalled $516.3 million and $6.3 million during the three months ended March 31, 2026 and 2025, respectively. Cash used in investing activities was primarily related to the purchase of Jackson common stock as described in Note 4 to the Condensed Consolidated Financial Statements and purchases of fixed assets. Cash used in investing activities during the three months ended March 31, 2025 was primarily related to the purchases of fixed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$365.1 million for three months ended March 31, 2026, compared to net cash used in financing activities of $177.8 million for three months ended March 31, 2025, respectively. During the three months ended March 31, 2026, cash provided by financing activities was primarily driven by the issuance of the 2031 Senior Notes in February 2026 and contributions from holders of non-controlling interests, partially offset by the payments of dividends and distributions to our Class A common stockholders and to holders of non-controlling interests in subsidiaries and withholding taxes paid on net settlement of equity-based awards. During the three months ended March 31, 2025, cash used by financing activities was primarily related to the payments of dividends and distributions to our Class A common stockholders and to holders of non-controlling interests in subsidiaries and withholding taxes paid on net settlement of equity-based awards, partially offset by the proceeds from the Senior Unsecured Revolving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Guarantor Financial Information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Subordinated Notes issued by the Notes Issuer are guaranteed on a junior, unsecured basis by the Guarantors, and the Senior Notes issued by the Notes Issuer are guaranteed on a senior, unsecured basis by the Guarantors. As used herein, “Obligor Group” means the Notes Issuer and the Guarantors on a combined basis. The Guarantors fully and unconditionally guarantee payments of principal, premium, if any, and interest (i) on the Subordinated Notes on a subordinated, unsecured basis and (ii) on the Senior Notes on a senior, unsecured basis. See Note 8 of the Condensed Consolidated Financial Statements for further discussion on these debt obligations.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Obligor Group entities are holding companies in which the primary assets are the ownership interests in certain consolidated subsidiaries. Accordingly, the Obligor Group has no independent means of generating revenue or cash flow, and its ability to service its debt and guarantee obligations depends upon the results of operations and cash flows of its consolidated subsidiaries. As of March 31, 2026 and December 31, 2025, the Obligor Group held investments in its non-guarantor subsidiaries of $3.5 billion and $3.4 billion, respectively, and recognized income from investments in its non-guarantor subsidiaries of $0.2 billion for the three months ended March 31, 2026. In addition, in connection with any distribution by the consolidated subsidiaries, the Obligor Group would only receive its proportionate share of such distribution.</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summarized financial information is provided in accordance with the reporting requirements of Rule 13-01 under SEC Regulation S-X for the Obligor Group and is not intended to present the financial position or results of operations of the Obligor Group in accordance with U.S. GAAP. The tables present summarized financial information of the Obligor Group on a combined basis after elimination of intercompany transactions and balances within the Obligor Group as of March 31, 2026 and December 31, 2025 and for the three months ended March 31,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70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4"/>
          </w:tcPr>
          <w:p>
            <w:pPr>
              <w:jc w:val="right"/>
              <w:ind w:right="1452"/>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Obligor Group Assets and Liabilities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less receivables from non-guarantor subsidiaries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1,324,890</w:t>
            </w:r>
          </w:p>
        </w:tc>
        <w:tc>
          <w:tcPr>
            <w:tcW w:w="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1,250,242</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 excluding non-guarantor subsidiaries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from non-guarantor subsidiaries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157,758</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 less payables to non-guarantor subsidiaries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1,964,844</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related parties, excluding non-guarantor subsidiaries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511,968</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to non-guarantor subsidiaries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w:t>
            </w:r>
          </w:p>
        </w:tc>
      </w:tr>
      <w:tr>
        <w:trPr>
          <w:trHeight w:val="256"/>
        </w:trPr>
        <w:tc>
          <w:tcPr>
            <w:tcW w:w="7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 in Obligor Group Assets and Liabilities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r>
      <w:tr>
        <w:trPr>
          <w:trHeight w:val="499"/>
        </w:trPr>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r>
      <w:tr>
        <w:trPr>
          <w:trHeight w:val="214"/>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31, 2026</w:t>
            </w:r>
          </w:p>
        </w:tc>
      </w:tr>
      <w:tr>
        <w:trPr>
          <w:trHeight w:val="209"/>
        </w:trPr>
        <w:tc>
          <w:tcPr>
            <w:tcW w:w="70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Obligor Group Revenues, Net Income (Loss) and Non-Controlling Interests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 from Obligor Group</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from Obligor Group's revenues and expenses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w:t>
            </w:r>
          </w:p>
        </w:tc>
      </w:tr>
      <w:tr>
        <w:trPr>
          <w:trHeight w:val="234"/>
        </w:trPr>
        <w:tc>
          <w:tcPr>
            <w:tcW w:w="9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Net loss attributable to non-controlling interests associated with Obligor Group's revenues and expenses</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has been no material change to our critical accounting estimates disclosed in our Annual Report. We prepare our Condensed Consolidated Financial Statements in accordance with U.S. GAAP. The preparation of financial statements in conformity with U.S.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 For a description of our accounting policies, see Note 2, “Summary of Significant Accounting Policies,” to the Condensed Consolidated Financial Statements included elsewhere in this report and for a discussion of our policies and estimates, see “Item 2.—Management’s Discussion and Analysis of Financial Condition and Results of Operation” in our Annual Report on Form 10-K for the year ended December 31,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exposure to market risks primarily relates to our role as investment advisor or general partner to our TPG funds and the impact of movements in the underlying fair value of their investments. There was no material change in our market risks during the three months ended March 31, 2026. For additional information, refer to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and claims incidental to the conduct of our business. Our business is also subject to extensive regulation, which may result in regulatory proceedings against us. See “Item 1A.—Risk Factors—Risks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in our Annual Report. We are not currently subject to any pending legal (including judicial, regulatory, administrative or arbitration) proceedings that we expect to have a material impact on our Condensed Consolidated Financial Statements. However, given the inherent unpredictability of these types of proceedings, an adverse outcome in certain matters could have a material effect on TPG’s financial results in any particular period. See Note 12, “Commitments and Contingencies,” to the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“Item 1A.––Risk Factors”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0" w:type="dxa"/>
            <w:vAlign w:val="bottom"/>
            <w:gridSpan w:val="17"/>
          </w:tcPr>
          <w:p>
            <w:pPr>
              <w:ind w:left="100"/>
              <w:spacing w:after="0"/>
              <w:rPr>
                <w:sz w:val="20"/>
                <w:szCs w:val="20"/>
                <w:color w:val="auto"/>
              </w:rPr>
            </w:pPr>
            <w:r>
              <w:rPr>
                <w:rFonts w:ascii="Times New Roman" w:cs="Times New Roman" w:eastAsia="Times New Roman" w:hAnsi="Times New Roman"/>
                <w:sz w:val="18"/>
                <w:szCs w:val="18"/>
                <w:color w:val="auto"/>
              </w:rPr>
              <w:t>Exhibits are included below.</w:t>
            </w:r>
          </w:p>
        </w:tc>
      </w:tr>
      <w:tr>
        <w:trPr>
          <w:trHeight w:val="257"/>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74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Restated Certificate of Incorporation of TPG Inc. (incorporated by reference to Exhibit 3.1 to the Company’s Current Report on</w:t>
              </w:r>
            </w:hyperlink>
          </w:p>
        </w:tc>
      </w:tr>
      <w:tr>
        <w:trPr>
          <w:trHeight w:val="183"/>
        </w:trPr>
        <w:tc>
          <w:tcPr>
            <w:tcW w:w="1460" w:type="dxa"/>
            <w:vAlign w:val="bottom"/>
            <w:tcBorders>
              <w:top w:val="single" w:sz="8" w:color="CCEEFF"/>
            </w:tcBorders>
            <w:shd w:val="clear" w:color="auto" w:fill="CCEEFF"/>
          </w:tcPr>
          <w:p>
            <w:pPr>
              <w:spacing w:after="0"/>
              <w:rPr>
                <w:sz w:val="15"/>
                <w:szCs w:val="15"/>
                <w:color w:val="auto"/>
              </w:rPr>
            </w:pPr>
          </w:p>
        </w:tc>
        <w:tc>
          <w:tcPr>
            <w:tcW w:w="9600" w:type="dxa"/>
            <w:vAlign w:val="bottom"/>
            <w:tcBorders>
              <w:top w:val="single" w:sz="8" w:color="0000FF"/>
            </w:tcBorders>
            <w:gridSpan w:val="16"/>
            <w:shd w:val="clear" w:color="auto" w:fill="CCEEFF"/>
          </w:tcPr>
          <w:p>
            <w:pPr>
              <w:spacing w:after="0" w:line="18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8-K, filed on November 13,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740" w:type="dxa"/>
            <w:vAlign w:val="bottom"/>
            <w:gridSpan w:val="23"/>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Certificate of Amendment of Restated Certificate of Incorporation of TPG Inc. (incorporated by reference to Exhibit 3.1 to the</w:t>
              </w:r>
            </w:hyperlink>
          </w:p>
        </w:tc>
      </w:tr>
      <w:tr>
        <w:trPr>
          <w:trHeight w:val="183"/>
        </w:trPr>
        <w:tc>
          <w:tcPr>
            <w:tcW w:w="1460" w:type="dxa"/>
            <w:vAlign w:val="bottom"/>
          </w:tcPr>
          <w:p>
            <w:pPr>
              <w:spacing w:after="0"/>
              <w:rPr>
                <w:sz w:val="15"/>
                <w:szCs w:val="15"/>
                <w:color w:val="auto"/>
              </w:rPr>
            </w:pPr>
          </w:p>
        </w:tc>
        <w:tc>
          <w:tcPr>
            <w:tcW w:w="972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Company’s Current Report on Form 8-K, filed on June 6, 2024).</w:t>
              </w:r>
            </w:hyperlink>
          </w:p>
        </w:tc>
        <w:tc>
          <w:tcPr>
            <w:tcW w:w="20" w:type="dxa"/>
            <w:vAlign w:val="bottom"/>
          </w:tcPr>
          <w:p>
            <w:pPr>
              <w:spacing w:after="0"/>
              <w:rPr>
                <w:sz w:val="15"/>
                <w:szCs w:val="15"/>
                <w:color w:val="auto"/>
              </w:rPr>
            </w:pP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974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Amended and Restated Bylaws of TPG Inc. (incorporated by reference to Exhibit 3.2 to the Company’s Current Report on Form 8-</w:t>
              </w:r>
            </w:hyperlink>
          </w:p>
        </w:tc>
      </w:tr>
      <w:tr>
        <w:trPr>
          <w:trHeight w:val="230"/>
        </w:trPr>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0000FF"/>
              <w:bottom w:val="single" w:sz="8" w:color="0000FF"/>
            </w:tcBorders>
            <w:gridSpan w:val="3"/>
            <w:shd w:val="clear" w:color="auto" w:fill="CCEEFF"/>
          </w:tcPr>
          <w:p>
            <w:pPr>
              <w:spacing w:after="0" w:line="182"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K, filed on June 12, 2023).</w:t>
              </w:r>
            </w:hyperlink>
          </w:p>
        </w:tc>
        <w:tc>
          <w:tcPr>
            <w:tcW w:w="7640" w:type="dxa"/>
            <w:vAlign w:val="bottom"/>
            <w:tcBorders>
              <w:top w:val="single" w:sz="8" w:color="0000FF"/>
              <w:bottom w:val="single" w:sz="8" w:color="CCEEFF"/>
            </w:tcBorders>
            <w:gridSpan w:val="12"/>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9740" w:type="dxa"/>
            <w:vAlign w:val="bottom"/>
            <w:gridSpan w:val="23"/>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Third Supplemental Indenture, dated as of February 26, 2026, among TPG Operating Group II, L.P., the Guarantors named therein</w:t>
              </w:r>
            </w:hyperlink>
          </w:p>
        </w:tc>
      </w:tr>
      <w:tr>
        <w:trPr>
          <w:trHeight w:val="183"/>
        </w:trPr>
        <w:tc>
          <w:tcPr>
            <w:tcW w:w="1460" w:type="dxa"/>
            <w:vAlign w:val="bottom"/>
          </w:tcPr>
          <w:p>
            <w:pPr>
              <w:spacing w:after="0"/>
              <w:rPr>
                <w:sz w:val="15"/>
                <w:szCs w:val="15"/>
                <w:color w:val="auto"/>
              </w:rPr>
            </w:pPr>
          </w:p>
        </w:tc>
        <w:tc>
          <w:tcPr>
            <w:tcW w:w="966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and U.S. Bank Trust Company, National Association, as trustee. (incorporated by reference to Exhibit 4.2 to the Company’s Current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460" w:type="dxa"/>
            <w:vAlign w:val="bottom"/>
          </w:tcPr>
          <w:p>
            <w:pPr>
              <w:spacing w:after="0"/>
              <w:rPr>
                <w:sz w:val="15"/>
                <w:szCs w:val="15"/>
                <w:color w:val="auto"/>
              </w:rPr>
            </w:pPr>
          </w:p>
        </w:tc>
        <w:tc>
          <w:tcPr>
            <w:tcW w:w="964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Report on Form 8-K, filed on February 26, 2026).</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974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4.875% Senior Notes due 2031 (incorporated by reference to Exhibit 4.3 to the Company’s Current Report on Form 8-K,</w:t>
              </w:r>
            </w:hyperlink>
          </w:p>
        </w:tc>
      </w:tr>
      <w:tr>
        <w:trPr>
          <w:trHeight w:val="230"/>
        </w:trPr>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2040" w:type="dxa"/>
            <w:vAlign w:val="bottom"/>
            <w:tcBorders>
              <w:top w:val="single" w:sz="8" w:color="0000FF"/>
              <w:bottom w:val="single" w:sz="8" w:color="0000FF"/>
            </w:tcBorders>
            <w:gridSpan w:val="4"/>
            <w:shd w:val="clear" w:color="auto" w:fill="CCEEFF"/>
          </w:tcPr>
          <w:p>
            <w:pPr>
              <w:spacing w:after="0" w:line="182"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filed on February 26, 2026).</w:t>
              </w:r>
            </w:hyperlink>
          </w:p>
        </w:tc>
        <w:tc>
          <w:tcPr>
            <w:tcW w:w="7580" w:type="dxa"/>
            <w:vAlign w:val="bottom"/>
            <w:tcBorders>
              <w:top w:val="single" w:sz="8" w:color="0000FF"/>
              <w:bottom w:val="single" w:sz="8" w:color="CCEEFF"/>
            </w:tcBorders>
            <w:gridSpan w:val="13"/>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23"/>
          </w:tcPr>
          <w:p>
            <w:pPr>
              <w:spacing w:after="0" w:line="18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Independent Director Compensation Policy (incorporated by reference to Exhibit 10.31 to the Company’s Annual Report on Form</w:t>
              </w:r>
            </w:hyperlink>
          </w:p>
        </w:tc>
      </w:tr>
      <w:tr>
        <w:trPr>
          <w:trHeight w:val="163"/>
        </w:trPr>
        <w:tc>
          <w:tcPr>
            <w:tcW w:w="1460" w:type="dxa"/>
            <w:vAlign w:val="bottom"/>
          </w:tcPr>
          <w:p>
            <w:pPr>
              <w:spacing w:after="0"/>
              <w:rPr>
                <w:sz w:val="14"/>
                <w:szCs w:val="14"/>
                <w:color w:val="auto"/>
              </w:rPr>
            </w:pPr>
          </w:p>
        </w:tc>
        <w:tc>
          <w:tcPr>
            <w:tcW w:w="6640" w:type="dxa"/>
            <w:vAlign w:val="bottom"/>
            <w:tcBorders>
              <w:top w:val="single" w:sz="8" w:color="0000FF"/>
            </w:tcBorders>
            <w:gridSpan w:val="10"/>
          </w:tcPr>
          <w:p>
            <w:pPr>
              <w:spacing w:after="0" w:line="163"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10-K, filed on February 17, 2026).</w:t>
              </w:r>
            </w:hyperlink>
          </w:p>
        </w:tc>
        <w:tc>
          <w:tcPr>
            <w:tcW w:w="5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97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List of Notes Issuer and Guarantor Subsidiaries, Senior and Subordinated Notes.</w:t>
            </w: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97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of Periodic Financial Reports pursuant to Section 906 of the Sarbanes-Oxley Act of 2002,</w:t>
            </w:r>
          </w:p>
        </w:tc>
      </w:tr>
      <w:tr>
        <w:trPr>
          <w:trHeight w:val="183"/>
        </w:trPr>
        <w:tc>
          <w:tcPr>
            <w:tcW w:w="1460" w:type="dxa"/>
            <w:vAlign w:val="bottom"/>
          </w:tcPr>
          <w:p>
            <w:pPr>
              <w:spacing w:after="0"/>
              <w:rPr>
                <w:sz w:val="15"/>
                <w:szCs w:val="15"/>
                <w:color w:val="auto"/>
              </w:rPr>
            </w:pPr>
          </w:p>
        </w:tc>
        <w:tc>
          <w:tcPr>
            <w:tcW w:w="970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18 U.S.C. Section 1350.</w:t>
            </w:r>
          </w:p>
        </w:tc>
        <w:tc>
          <w:tcPr>
            <w:tcW w:w="40" w:type="dxa"/>
            <w:vAlign w:val="bottom"/>
            <w:gridSpan w:val="2"/>
          </w:tcPr>
          <w:p>
            <w:pPr>
              <w:spacing w:after="0"/>
              <w:rPr>
                <w:sz w:val="15"/>
                <w:szCs w:val="15"/>
                <w:color w:val="auto"/>
              </w:rPr>
            </w:pP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Periodic Financial Reports pursuant to Section 906 of the Sarbanes-Oxley Act of 2002, 18</w:t>
            </w:r>
          </w:p>
        </w:tc>
      </w:tr>
      <w:tr>
        <w:trPr>
          <w:trHeight w:val="182"/>
        </w:trPr>
        <w:tc>
          <w:tcPr>
            <w:tcW w:w="1460" w:type="dxa"/>
            <w:vAlign w:val="bottom"/>
            <w:tcBorders>
              <w:top w:val="single" w:sz="8" w:color="CCEEFF"/>
            </w:tcBorders>
            <w:shd w:val="clear" w:color="auto" w:fill="CCEEFF"/>
          </w:tcPr>
          <w:p>
            <w:pPr>
              <w:spacing w:after="0"/>
              <w:rPr>
                <w:sz w:val="15"/>
                <w:szCs w:val="15"/>
                <w:color w:val="auto"/>
              </w:rPr>
            </w:pPr>
          </w:p>
        </w:tc>
        <w:tc>
          <w:tcPr>
            <w:tcW w:w="9680" w:type="dxa"/>
            <w:vAlign w:val="bottom"/>
            <w:tcBorders>
              <w:top w:val="single" w:sz="8" w:color="0000FF"/>
            </w:tcBorders>
            <w:gridSpan w:val="2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U.S.C. Section 1350.</w:t>
            </w:r>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98"/>
        </w:trPr>
        <w:tc>
          <w:tcPr>
            <w:tcW w:w="1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23"/>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460" w:type="dxa"/>
            <w:vAlign w:val="bottom"/>
          </w:tcPr>
          <w:p>
            <w:pPr>
              <w:spacing w:after="0"/>
              <w:rPr>
                <w:sz w:val="20"/>
                <w:szCs w:val="20"/>
                <w:color w:val="auto"/>
              </w:rPr>
            </w:pP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
        </w:trPr>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tcBorders>
              <w:bottom w:val="single" w:sz="8" w:color="CCEEFF"/>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
        </w:trPr>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tcBorders>
              <w:bottom w:val="single" w:sz="8" w:color="CCEEFF"/>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
        </w:trPr>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tcBorders>
              <w:bottom w:val="single" w:sz="8" w:color="CCEEFF"/>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Incorporated by reference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50"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17145</wp:posOffset>
            </wp:positionV>
            <wp:extent cx="17659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Jack Weingart</w:t>
      </w:r>
    </w:p>
    <w:p>
      <w:pPr>
        <w:spacing w:after="0" w:line="25"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Chief Financial Officer (Principal</w:t>
      </w:r>
    </w:p>
    <w:p>
      <w:pPr>
        <w:ind w:left="8480"/>
        <w:spacing w:after="0" w:line="203" w:lineRule="auto"/>
        <w:rPr>
          <w:sz w:val="20"/>
          <w:szCs w:val="20"/>
          <w:color w:val="auto"/>
        </w:rPr>
      </w:pPr>
      <w:r>
        <w:rPr>
          <w:rFonts w:ascii="Times New Roman" w:cs="Times New Roman" w:eastAsia="Times New Roman" w:hAnsi="Times New Roman"/>
          <w:sz w:val="18"/>
          <w:szCs w:val="18"/>
          <w:color w:val="auto"/>
        </w:rPr>
        <w:t>Financial Officer and Authorized</w:t>
      </w:r>
    </w:p>
    <w:p>
      <w:pPr>
        <w:ind w:left="84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6"/>
          <w:szCs w:val="16"/>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40" w:right="20"/>
        <w:spacing w:after="0" w:line="261" w:lineRule="auto"/>
        <w:rPr>
          <w:sz w:val="20"/>
          <w:szCs w:val="20"/>
          <w:color w:val="auto"/>
        </w:rPr>
      </w:pPr>
      <w:r>
        <w:rPr>
          <w:rFonts w:ascii="Times New Roman" w:cs="Times New Roman" w:eastAsia="Times New Roman" w:hAnsi="Times New Roman"/>
          <w:sz w:val="18"/>
          <w:szCs w:val="18"/>
          <w:color w:val="auto"/>
        </w:rPr>
        <w:t>Each of the subsidiaries of TPG Inc. (the “Company”) listed below is a guarantor of the 4.875% Senior Notes due 2031, 5.875% Senior Notes due 2034, 5.375% Senior Notes due 2036 and 6.950% Fixed-Rate Junior Subordinated Notes due 2064 (collectively, the “Notes”) issued by TPG Operating Group II, L.P., a Delaware limited partnership and subsidiary of the Company. In addition to the subsidiaries listed below, the Company is also a guarantor of the Notes.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Subsidiary Guarantor</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1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TPG Operating Group I, L.P.</w:t>
            </w:r>
          </w:p>
        </w:tc>
        <w:tc>
          <w:tcPr>
            <w:tcW w:w="160" w:type="dxa"/>
            <w:vAlign w:val="bottom"/>
          </w:tcPr>
          <w:p>
            <w:pPr>
              <w:spacing w:after="0"/>
              <w:rPr>
                <w:sz w:val="18"/>
                <w:szCs w:val="18"/>
                <w:color w:val="auto"/>
              </w:rPr>
            </w:pPr>
          </w:p>
        </w:tc>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5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TPG Operating Group III, L.P.</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TPG Holdings II Sub, L.P.</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38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Winkelried, certify that:</w:t>
      </w:r>
    </w:p>
    <w:p>
      <w:pPr>
        <w:spacing w:after="0" w:line="19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TPG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1,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Jon Winkelried</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38"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Weingart, certify that:</w:t>
      </w:r>
    </w:p>
    <w:p>
      <w:pPr>
        <w:spacing w:after="0" w:line="198"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TPG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1,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Jack Weingart</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238"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ind w:left="394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Inc. (the “Company”) for the quarter ended March 31, 2026 as filed with the Securities and Exchange Commission on the date hereof (the “Report”), I, Jon Winkelried,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Jon Winkelried</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0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ind w:left="394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Inc. (the “Company”) for the quarter ended March 31, 2026 as filed with the Securities and Exchange Commission on the date hereof (the “Report”), I, Jack Weingart,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Jack Weingart</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decimal"/>
      <w:start w:val="3"/>
    </w:lvl>
    <w:lvl w:ilvl="1">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decimal"/>
      <w:start w:val="6"/>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decimal"/>
      <w:start w:val="12"/>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decimal"/>
      <w:start w:val="14"/>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lowerRoman"/>
      <w:start w:val="5"/>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lowerRoman"/>
      <w:start w:val="2"/>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lowerRoman"/>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7"/>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40" Type="http://schemas.openxmlformats.org/officeDocument/2006/relationships/hyperlink" Target="https://www.sec.gov/Archives/edgar/data/1880661/000188066123000109/ex-31.htm" TargetMode="External"/><Relationship Id="rId141" Type="http://schemas.openxmlformats.org/officeDocument/2006/relationships/hyperlink" Target="https://www.sec.gov/Archives/edgar/data/1880661/000188066124000034/ex31-tpgincxcertificateofa.htm" TargetMode="External"/><Relationship Id="rId142" Type="http://schemas.openxmlformats.org/officeDocument/2006/relationships/hyperlink" Target="https://www.sec.gov/Archives/edgar/data/1880661/000119312523165304/d494929dex32.htm" TargetMode="External"/><Relationship Id="rId143" Type="http://schemas.openxmlformats.org/officeDocument/2006/relationships/hyperlink" Target="https://www.sec.gov/Archives/edgar/data/1880661/000119312526076645/d95423dex42.htm" TargetMode="External"/><Relationship Id="rId144" Type="http://schemas.openxmlformats.org/officeDocument/2006/relationships/hyperlink" Target="https://www.sec.gov/Archives/edgar/data/1880661/000188066126000011/a20251231ex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2026-05-01T15:10:58Z</dcterms:created>
  <dcterms:modified xsi:type="dcterms:W3CDTF">2026-05-01T15:10:58Z</dcterms:modified>
</cp:coreProperties>
</file>