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7"/>
        <w:spacing w:after="0" w:line="207"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3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357" w:lineRule="exact"/>
        <w:rPr>
          <w:sz w:val="24"/>
          <w:szCs w:val="24"/>
          <w:color w:val="auto"/>
        </w:rPr>
      </w:pPr>
    </w:p>
    <w:p>
      <w:pPr>
        <w:ind w:left="5248"/>
        <w:spacing w:after="0"/>
        <w:rPr>
          <w:sz w:val="20"/>
          <w:szCs w:val="20"/>
          <w:color w:val="auto"/>
        </w:rPr>
      </w:pPr>
      <w:r>
        <w:rPr>
          <w:rFonts w:ascii="Times New Roman" w:cs="Times New Roman" w:eastAsia="Times New Roman" w:hAnsi="Times New Roman"/>
          <w:sz w:val="12"/>
          <w:szCs w:val="12"/>
          <w:b w:val="1"/>
          <w:bCs w:val="1"/>
          <w:color w:val="auto"/>
        </w:rPr>
        <w:t>Current Report</w:t>
      </w:r>
    </w:p>
    <w:p>
      <w:pPr>
        <w:ind w:left="4848"/>
        <w:spacing w:after="0" w:line="210" w:lineRule="auto"/>
        <w:rPr>
          <w:sz w:val="20"/>
          <w:szCs w:val="20"/>
          <w:color w:val="auto"/>
        </w:rPr>
      </w:pPr>
      <w:r>
        <w:rPr>
          <w:rFonts w:ascii="Times New Roman" w:cs="Times New Roman" w:eastAsia="Times New Roman" w:hAnsi="Times New Roman"/>
          <w:sz w:val="12"/>
          <w:szCs w:val="12"/>
          <w:b w:val="1"/>
          <w:bCs w:val="1"/>
          <w:color w:val="auto"/>
        </w:rPr>
        <w:t>Pursuant to Section 13 or 15(d)</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February 15, 2023</w:t>
      </w:r>
    </w:p>
    <w:p>
      <w:pPr>
        <w:spacing w:after="0" w:line="3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TPG Inc.</w:t>
      </w: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387" w:lineRule="exact"/>
        <w:rPr>
          <w:sz w:val="24"/>
          <w:szCs w:val="24"/>
          <w:color w:val="auto"/>
        </w:rPr>
      </w:pPr>
    </w:p>
    <w:tbl>
      <w:tblPr>
        <w:tblLayout w:type="fixed"/>
        <w:tblInd w:w="1528" w:type="dxa"/>
        <w:tblCellMar>
          <w:top w:w="0" w:type="dxa"/>
          <w:left w:w="0" w:type="dxa"/>
          <w:bottom w:w="0" w:type="dxa"/>
          <w:right w:w="0" w:type="dxa"/>
        </w:tblCellMar>
      </w:tblPr>
      <w:tr>
        <w:trPr>
          <w:trHeight w:val="157"/>
        </w:trPr>
        <w:tc>
          <w:tcPr>
            <w:tcW w:w="2060" w:type="dxa"/>
            <w:vAlign w:val="bottom"/>
          </w:tcPr>
          <w:p>
            <w:pPr>
              <w:jc w:val="center"/>
              <w:ind w:right="485"/>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300" w:type="dxa"/>
            <w:vAlign w:val="bottom"/>
          </w:tcPr>
          <w:p>
            <w:pPr>
              <w:jc w:val="right"/>
              <w:ind w:right="1924"/>
              <w:spacing w:after="0"/>
              <w:rPr>
                <w:sz w:val="20"/>
                <w:szCs w:val="20"/>
                <w:color w:val="auto"/>
              </w:rPr>
            </w:pPr>
            <w:r>
              <w:rPr>
                <w:rFonts w:ascii="Times New Roman" w:cs="Times New Roman" w:eastAsia="Times New Roman" w:hAnsi="Times New Roman"/>
                <w:sz w:val="12"/>
                <w:szCs w:val="12"/>
                <w:b w:val="1"/>
                <w:bCs w:val="1"/>
                <w:color w:val="auto"/>
              </w:rPr>
              <w:t>001-41222</w:t>
            </w:r>
          </w:p>
        </w:tc>
        <w:tc>
          <w:tcPr>
            <w:tcW w:w="1560" w:type="dxa"/>
            <w:vAlign w:val="bottom"/>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87-2063362</w:t>
            </w:r>
          </w:p>
        </w:tc>
      </w:tr>
      <w:tr>
        <w:trPr>
          <w:trHeight w:val="110"/>
        </w:trPr>
        <w:tc>
          <w:tcPr>
            <w:tcW w:w="2060" w:type="dxa"/>
            <w:vAlign w:val="bottom"/>
          </w:tcPr>
          <w:p>
            <w:pPr>
              <w:jc w:val="center"/>
              <w:ind w:right="485"/>
              <w:spacing w:after="0" w:line="111" w:lineRule="exact"/>
              <w:rPr>
                <w:sz w:val="20"/>
                <w:szCs w:val="20"/>
                <w:color w:val="auto"/>
              </w:rPr>
            </w:pPr>
            <w:r>
              <w:rPr>
                <w:rFonts w:ascii="Times New Roman" w:cs="Times New Roman" w:eastAsia="Times New Roman" w:hAnsi="Times New Roman"/>
                <w:sz w:val="11"/>
                <w:szCs w:val="11"/>
                <w:b w:val="1"/>
                <w:bCs w:val="1"/>
                <w:color w:val="auto"/>
                <w:w w:val="98"/>
              </w:rPr>
              <w:t>(State or other jurisdiction</w:t>
            </w:r>
          </w:p>
        </w:tc>
        <w:tc>
          <w:tcPr>
            <w:tcW w:w="4300" w:type="dxa"/>
            <w:vAlign w:val="bottom"/>
          </w:tcPr>
          <w:p>
            <w:pPr>
              <w:jc w:val="center"/>
              <w:ind w:right="104"/>
              <w:spacing w:after="0" w:line="111" w:lineRule="exact"/>
              <w:rPr>
                <w:sz w:val="20"/>
                <w:szCs w:val="20"/>
                <w:color w:val="auto"/>
              </w:rPr>
            </w:pPr>
            <w:r>
              <w:rPr>
                <w:rFonts w:ascii="Times New Roman" w:cs="Times New Roman" w:eastAsia="Times New Roman" w:hAnsi="Times New Roman"/>
                <w:sz w:val="11"/>
                <w:szCs w:val="11"/>
                <w:b w:val="1"/>
                <w:bCs w:val="1"/>
                <w:color w:val="auto"/>
                <w:w w:val="98"/>
              </w:rPr>
              <w:t>(Commission File Number)</w:t>
            </w:r>
          </w:p>
        </w:tc>
        <w:tc>
          <w:tcPr>
            <w:tcW w:w="1560" w:type="dxa"/>
            <w:vAlign w:val="bottom"/>
          </w:tcPr>
          <w:p>
            <w:pPr>
              <w:jc w:val="center"/>
              <w:ind w:left="644"/>
              <w:spacing w:after="0" w:line="111"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060" w:type="dxa"/>
            <w:vAlign w:val="bottom"/>
          </w:tcPr>
          <w:p>
            <w:pPr>
              <w:jc w:val="center"/>
              <w:ind w:right="485"/>
              <w:spacing w:after="0"/>
              <w:rPr>
                <w:sz w:val="20"/>
                <w:szCs w:val="20"/>
                <w:color w:val="auto"/>
              </w:rPr>
            </w:pPr>
            <w:r>
              <w:rPr>
                <w:rFonts w:ascii="Times New Roman" w:cs="Times New Roman" w:eastAsia="Times New Roman" w:hAnsi="Times New Roman"/>
                <w:sz w:val="11"/>
                <w:szCs w:val="11"/>
                <w:b w:val="1"/>
                <w:bCs w:val="1"/>
                <w:color w:val="auto"/>
                <w:w w:val="99"/>
              </w:rPr>
              <w:t>of incorporation)</w:t>
            </w:r>
          </w:p>
        </w:tc>
        <w:tc>
          <w:tcPr>
            <w:tcW w:w="4300" w:type="dxa"/>
            <w:vAlign w:val="bottom"/>
          </w:tcPr>
          <w:p>
            <w:pPr>
              <w:spacing w:after="0"/>
              <w:rPr>
                <w:sz w:val="12"/>
                <w:szCs w:val="12"/>
                <w:color w:val="auto"/>
              </w:rPr>
            </w:pPr>
          </w:p>
        </w:tc>
        <w:tc>
          <w:tcPr>
            <w:tcW w:w="1560" w:type="dxa"/>
            <w:vAlign w:val="bottom"/>
          </w:tcPr>
          <w:p>
            <w:pPr>
              <w:jc w:val="center"/>
              <w:ind w:left="644"/>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306"/>
        </w:trPr>
        <w:tc>
          <w:tcPr>
            <w:tcW w:w="2060" w:type="dxa"/>
            <w:vAlign w:val="bottom"/>
          </w:tcPr>
          <w:p>
            <w:pPr>
              <w:jc w:val="center"/>
              <w:ind w:right="485"/>
              <w:spacing w:after="0"/>
              <w:rPr>
                <w:sz w:val="20"/>
                <w:szCs w:val="20"/>
                <w:color w:val="auto"/>
              </w:rPr>
            </w:pPr>
            <w:r>
              <w:rPr>
                <w:rFonts w:ascii="Times New Roman" w:cs="Times New Roman" w:eastAsia="Times New Roman" w:hAnsi="Times New Roman"/>
                <w:sz w:val="11"/>
                <w:szCs w:val="11"/>
                <w:b w:val="1"/>
                <w:bCs w:val="1"/>
                <w:color w:val="auto"/>
                <w:w w:val="97"/>
              </w:rPr>
              <w:t>301 Commerce Street, Suite 3300</w:t>
            </w:r>
          </w:p>
        </w:tc>
        <w:tc>
          <w:tcPr>
            <w:tcW w:w="4300" w:type="dxa"/>
            <w:vAlign w:val="bottom"/>
          </w:tcPr>
          <w:p>
            <w:pPr>
              <w:spacing w:after="0"/>
              <w:rPr>
                <w:sz w:val="24"/>
                <w:szCs w:val="24"/>
                <w:color w:val="auto"/>
              </w:rPr>
            </w:pPr>
          </w:p>
        </w:tc>
        <w:tc>
          <w:tcPr>
            <w:tcW w:w="1560" w:type="dxa"/>
            <w:vAlign w:val="bottom"/>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76102</w:t>
            </w:r>
          </w:p>
        </w:tc>
      </w:tr>
      <w:tr>
        <w:trPr>
          <w:trHeight w:val="142"/>
        </w:trPr>
        <w:tc>
          <w:tcPr>
            <w:tcW w:w="2060" w:type="dxa"/>
            <w:vAlign w:val="bottom"/>
          </w:tcPr>
          <w:p>
            <w:pPr>
              <w:jc w:val="center"/>
              <w:ind w:right="485"/>
              <w:spacing w:after="0"/>
              <w:rPr>
                <w:sz w:val="20"/>
                <w:szCs w:val="20"/>
                <w:color w:val="auto"/>
              </w:rPr>
            </w:pPr>
            <w:r>
              <w:rPr>
                <w:rFonts w:ascii="Times New Roman" w:cs="Times New Roman" w:eastAsia="Times New Roman" w:hAnsi="Times New Roman"/>
                <w:sz w:val="11"/>
                <w:szCs w:val="11"/>
                <w:b w:val="1"/>
                <w:bCs w:val="1"/>
                <w:color w:val="auto"/>
                <w:w w:val="95"/>
              </w:rPr>
              <w:t>Fort Worth, TX</w:t>
            </w:r>
          </w:p>
        </w:tc>
        <w:tc>
          <w:tcPr>
            <w:tcW w:w="4300" w:type="dxa"/>
            <w:vAlign w:val="bottom"/>
          </w:tcPr>
          <w:p>
            <w:pPr>
              <w:spacing w:after="0"/>
              <w:rPr>
                <w:sz w:val="12"/>
                <w:szCs w:val="12"/>
                <w:color w:val="auto"/>
              </w:rPr>
            </w:pPr>
          </w:p>
        </w:tc>
        <w:tc>
          <w:tcPr>
            <w:tcW w:w="1560" w:type="dxa"/>
            <w:vAlign w:val="bottom"/>
          </w:tcPr>
          <w:p>
            <w:pPr>
              <w:jc w:val="center"/>
              <w:ind w:left="644"/>
              <w:spacing w:after="0"/>
              <w:rPr>
                <w:sz w:val="20"/>
                <w:szCs w:val="20"/>
                <w:color w:val="auto"/>
              </w:rPr>
            </w:pPr>
            <w:r>
              <w:rPr>
                <w:rFonts w:ascii="Times New Roman" w:cs="Times New Roman" w:eastAsia="Times New Roman" w:hAnsi="Times New Roman"/>
                <w:sz w:val="11"/>
                <w:szCs w:val="11"/>
                <w:color w:val="auto"/>
                <w:w w:val="94"/>
              </w:rPr>
              <w:t>(Zip Code)</w:t>
            </w:r>
          </w:p>
        </w:tc>
      </w:tr>
      <w:tr>
        <w:trPr>
          <w:trHeight w:val="166"/>
        </w:trPr>
        <w:tc>
          <w:tcPr>
            <w:tcW w:w="2060" w:type="dxa"/>
            <w:vAlign w:val="bottom"/>
          </w:tcPr>
          <w:p>
            <w:pPr>
              <w:spacing w:after="0"/>
              <w:rPr>
                <w:sz w:val="14"/>
                <w:szCs w:val="14"/>
                <w:color w:val="auto"/>
              </w:rPr>
            </w:pPr>
          </w:p>
        </w:tc>
        <w:tc>
          <w:tcPr>
            <w:tcW w:w="4300" w:type="dxa"/>
            <w:vAlign w:val="bottom"/>
          </w:tcPr>
          <w:p>
            <w:pPr>
              <w:jc w:val="right"/>
              <w:ind w:right="1804"/>
              <w:spacing w:after="0"/>
              <w:rPr>
                <w:sz w:val="20"/>
                <w:szCs w:val="20"/>
                <w:color w:val="auto"/>
              </w:rPr>
            </w:pPr>
            <w:r>
              <w:rPr>
                <w:rFonts w:ascii="Times New Roman" w:cs="Times New Roman" w:eastAsia="Times New Roman" w:hAnsi="Times New Roman"/>
                <w:sz w:val="12"/>
                <w:szCs w:val="12"/>
                <w:b w:val="1"/>
                <w:bCs w:val="1"/>
                <w:color w:val="auto"/>
              </w:rPr>
              <w:t>(817) 871-4000</w:t>
            </w:r>
          </w:p>
        </w:tc>
        <w:tc>
          <w:tcPr>
            <w:tcW w:w="1560" w:type="dxa"/>
            <w:vAlign w:val="bottom"/>
          </w:tcPr>
          <w:p>
            <w:pPr>
              <w:spacing w:after="0"/>
              <w:rPr>
                <w:sz w:val="14"/>
                <w:szCs w:val="14"/>
                <w:color w:val="auto"/>
              </w:rPr>
            </w:pPr>
          </w:p>
        </w:tc>
      </w:tr>
      <w:tr>
        <w:trPr>
          <w:trHeight w:val="142"/>
        </w:trPr>
        <w:tc>
          <w:tcPr>
            <w:tcW w:w="2060" w:type="dxa"/>
            <w:vAlign w:val="bottom"/>
          </w:tcPr>
          <w:p>
            <w:pPr>
              <w:spacing w:after="0"/>
              <w:rPr>
                <w:sz w:val="12"/>
                <w:szCs w:val="12"/>
                <w:color w:val="auto"/>
              </w:rPr>
            </w:pPr>
          </w:p>
        </w:tc>
        <w:tc>
          <w:tcPr>
            <w:tcW w:w="430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1560" w:type="dxa"/>
            <w:vAlign w:val="bottom"/>
          </w:tcPr>
          <w:p>
            <w:pPr>
              <w:spacing w:after="0"/>
              <w:rPr>
                <w:sz w:val="12"/>
                <w:szCs w:val="12"/>
                <w:color w:val="auto"/>
              </w:rPr>
            </w:pPr>
          </w:p>
        </w:tc>
      </w:tr>
      <w:tr>
        <w:trPr>
          <w:trHeight w:val="236"/>
        </w:trPr>
        <w:tc>
          <w:tcPr>
            <w:tcW w:w="2060" w:type="dxa"/>
            <w:vAlign w:val="bottom"/>
          </w:tcPr>
          <w:p>
            <w:pPr>
              <w:spacing w:after="0"/>
              <w:rPr>
                <w:sz w:val="20"/>
                <w:szCs w:val="20"/>
                <w:color w:val="auto"/>
              </w:rPr>
            </w:pPr>
          </w:p>
        </w:tc>
        <w:tc>
          <w:tcPr>
            <w:tcW w:w="4300" w:type="dxa"/>
            <w:vAlign w:val="bottom"/>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w w:val="99"/>
              </w:rPr>
              <w:t>Not Applicable</w:t>
            </w:r>
          </w:p>
        </w:tc>
        <w:tc>
          <w:tcPr>
            <w:tcW w:w="1560" w:type="dxa"/>
            <w:vAlign w:val="bottom"/>
          </w:tcPr>
          <w:p>
            <w:pPr>
              <w:spacing w:after="0"/>
              <w:rPr>
                <w:sz w:val="20"/>
                <w:szCs w:val="20"/>
                <w:color w:val="auto"/>
              </w:rPr>
            </w:pPr>
          </w:p>
        </w:tc>
      </w:tr>
      <w:tr>
        <w:trPr>
          <w:trHeight w:val="142"/>
        </w:trPr>
        <w:tc>
          <w:tcPr>
            <w:tcW w:w="2060" w:type="dxa"/>
            <w:vAlign w:val="bottom"/>
          </w:tcPr>
          <w:p>
            <w:pPr>
              <w:spacing w:after="0"/>
              <w:rPr>
                <w:sz w:val="12"/>
                <w:szCs w:val="12"/>
                <w:color w:val="auto"/>
              </w:rPr>
            </w:pPr>
          </w:p>
        </w:tc>
        <w:tc>
          <w:tcPr>
            <w:tcW w:w="430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w w:val="97"/>
              </w:rPr>
              <w:t>(Former Name or Former Address, if Changed Since Last Report)</w:t>
            </w:r>
          </w:p>
        </w:tc>
        <w:tc>
          <w:tcPr>
            <w:tcW w:w="1560" w:type="dxa"/>
            <w:vAlign w:val="bottom"/>
          </w:tcPr>
          <w:p>
            <w:pPr>
              <w:spacing w:after="0"/>
              <w:rPr>
                <w:sz w:val="12"/>
                <w:szCs w:val="12"/>
                <w:color w:val="auto"/>
              </w:rPr>
            </w:pPr>
          </w:p>
        </w:tc>
      </w:tr>
    </w:tbl>
    <w:p>
      <w:pPr>
        <w:spacing w:after="0" w:line="30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9"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0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5"/>
              </w:rPr>
              <w:t>Trading</w:t>
            </w: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159"/>
        </w:trPr>
        <w:tc>
          <w:tcPr>
            <w:tcW w:w="4180" w:type="dxa"/>
            <w:vAlign w:val="bottom"/>
            <w:gridSpan w:val="2"/>
            <w:vMerge w:val="continue"/>
          </w:tcPr>
          <w:p>
            <w:pPr>
              <w:spacing w:after="0"/>
              <w:rPr>
                <w:sz w:val="13"/>
                <w:szCs w:val="13"/>
                <w:color w:val="auto"/>
              </w:rPr>
            </w:pP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Symbol</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common stock, $0.001 par value</w:t>
            </w:r>
          </w:p>
        </w:tc>
        <w:tc>
          <w:tcPr>
            <w:tcW w:w="140" w:type="dxa"/>
            <w:vAlign w:val="bottom"/>
          </w:tcPr>
          <w:p>
            <w:pPr>
              <w:spacing w:after="0"/>
              <w:rPr>
                <w:sz w:val="12"/>
                <w:szCs w:val="12"/>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TPG</w:t>
            </w:r>
          </w:p>
        </w:tc>
        <w:tc>
          <w:tcPr>
            <w:tcW w:w="120" w:type="dxa"/>
            <w:vAlign w:val="bottom"/>
          </w:tcPr>
          <w:p>
            <w:pPr>
              <w:spacing w:after="0"/>
              <w:rPr>
                <w:sz w:val="12"/>
                <w:szCs w:val="12"/>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c>
          <w:tcPr>
            <w:tcW w:w="0" w:type="dxa"/>
            <w:vAlign w:val="bottom"/>
          </w:tcPr>
          <w:p>
            <w:pPr>
              <w:spacing w:after="0"/>
              <w:rPr>
                <w:sz w:val="1"/>
                <w:szCs w:val="1"/>
                <w:color w:val="auto"/>
              </w:rPr>
            </w:pPr>
          </w:p>
        </w:tc>
      </w:tr>
      <w:tr>
        <w:trPr>
          <w:trHeight w:val="155"/>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8" w:right="180"/>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1" w:lineRule="exact"/>
        <w:rPr>
          <w:sz w:val="24"/>
          <w:szCs w:val="24"/>
          <w:color w:val="auto"/>
        </w:rPr>
      </w:pPr>
    </w:p>
    <w:p>
      <w:pPr>
        <w:ind w:left="8" w:right="100"/>
        <w:spacing w:after="0" w:line="14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408940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7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27" w:lineRule="exact"/>
        <w:rPr>
          <w:sz w:val="20"/>
          <w:szCs w:val="20"/>
          <w:color w:val="auto"/>
        </w:rPr>
      </w:pPr>
    </w:p>
    <w:p>
      <w:pPr>
        <w:ind w:right="420"/>
        <w:spacing w:after="0" w:line="248" w:lineRule="auto"/>
        <w:rPr>
          <w:sz w:val="20"/>
          <w:szCs w:val="20"/>
          <w:color w:val="auto"/>
        </w:rPr>
      </w:pPr>
      <w:r>
        <w:rPr>
          <w:rFonts w:ascii="Times New Roman" w:cs="Times New Roman" w:eastAsia="Times New Roman" w:hAnsi="Times New Roman"/>
          <w:sz w:val="12"/>
          <w:szCs w:val="12"/>
          <w:color w:val="auto"/>
        </w:rPr>
        <w:t>On February 15, 2023, TPG Inc. issued a summary press release and a detailed earnings presentation announcing financial results for its fourth quarter and full year ended December 31, 2022. The summary press release and the earnings presentation are furnished as Exhibit 99.1 and Exhibit 99.2, respectively, to this report.</w:t>
      </w:r>
    </w:p>
    <w:p>
      <w:pPr>
        <w:spacing w:after="0" w:line="10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1"/>
          <w:szCs w:val="11"/>
          <w:color w:val="auto"/>
        </w:rPr>
        <w:t>As provided in General Instruction B.2 of Form 8-K, the information in this Item 2.02 and Exhibits 99.1 and 99.2 incorporated in this Form 8-K shall not be deemed to be “filed” for purposes of Section 18 of the Securities Exchange Act of 1934, as amended (the “Exchange Act”), or otherwise subject to the liabilities of that section, nor shall such information or Exhibits 99.1 and 99.2 be deemed to be incorporated by reference in any filing under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1933, as amended, or the Exchange Act, regardless of any general incorporation language in such filing.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5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5"/>
        </w:trPr>
        <w:tc>
          <w:tcPr>
            <w:tcW w:w="240" w:type="dxa"/>
            <w:vAlign w:val="bottom"/>
            <w:tcBorders>
              <w:top w:val="single" w:sz="8" w:color="auto"/>
            </w:tcBorders>
            <w:gridSpan w:val="2"/>
          </w:tcPr>
          <w:p>
            <w:pPr>
              <w:ind w:left="40"/>
              <w:spacing w:after="0" w:line="115" w:lineRule="exact"/>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1</w:t>
            </w:r>
          </w:p>
        </w:tc>
        <w:tc>
          <w:tcPr>
            <w:tcW w:w="12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54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Summary press release of TPG Inc., dated February 15, 2023.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33"/>
        </w:trPr>
        <w:tc>
          <w:tcPr>
            <w:tcW w:w="2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0000FF"/>
                <w:w w:val="85"/>
              </w:rPr>
              <w:t>99.</w:t>
            </w:r>
            <w:r>
              <w:rPr>
                <w:rFonts w:ascii="Times New Roman" w:cs="Times New Roman" w:eastAsia="Times New Roman" w:hAnsi="Times New Roman"/>
                <w:sz w:val="12"/>
                <w:szCs w:val="12"/>
                <w:u w:val="single" w:color="auto"/>
                <w:color w:val="0000FF"/>
                <w:w w:val="85"/>
              </w:rPr>
              <w:t>2</w:t>
            </w: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5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Earnings presentation of TPG Inc., dated February 15, 2023.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r>
      <w:tr>
        <w:trPr>
          <w:trHeight w:val="160"/>
        </w:trPr>
        <w:tc>
          <w:tcPr>
            <w:tcW w:w="2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w w:val="99"/>
              </w:rPr>
              <w:t>104</w:t>
            </w: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40" w:type="dxa"/>
            <w:vAlign w:val="bottom"/>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09"/>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thereto duly authorized.</w:t>
      </w:r>
    </w:p>
    <w:p>
      <w:pPr>
        <w:spacing w:after="0" w:line="194" w:lineRule="exact"/>
        <w:rPr>
          <w:sz w:val="20"/>
          <w:szCs w:val="20"/>
          <w:color w:val="auto"/>
        </w:rPr>
      </w:pPr>
    </w:p>
    <w:tbl>
      <w:tblPr>
        <w:tblLayout w:type="fixed"/>
        <w:tblInd w:w="3380" w:type="dxa"/>
        <w:tblCellMar>
          <w:top w:w="0" w:type="dxa"/>
          <w:left w:w="0" w:type="dxa"/>
          <w:bottom w:w="0" w:type="dxa"/>
          <w:right w:w="0" w:type="dxa"/>
        </w:tblCellMar>
      </w:tblPr>
      <w:tr>
        <w:trPr>
          <w:trHeight w:val="159"/>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TPG INC.</w:t>
            </w:r>
          </w:p>
        </w:tc>
        <w:tc>
          <w:tcPr>
            <w:tcW w:w="2700" w:type="dxa"/>
            <w:vAlign w:val="bottom"/>
          </w:tcPr>
          <w:p>
            <w:pPr>
              <w:spacing w:after="0"/>
              <w:rPr>
                <w:sz w:val="13"/>
                <w:szCs w:val="13"/>
                <w:color w:val="auto"/>
              </w:rPr>
            </w:pPr>
          </w:p>
        </w:tc>
      </w:tr>
      <w:tr>
        <w:trPr>
          <w:trHeight w:val="441"/>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2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 Jack Weingart</w:t>
            </w:r>
          </w:p>
        </w:tc>
      </w:tr>
      <w:tr>
        <w:trPr>
          <w:trHeight w:val="140"/>
        </w:trPr>
        <w:tc>
          <w:tcPr>
            <w:tcW w:w="5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Jack Weingart</w:t>
            </w:r>
          </w:p>
        </w:tc>
      </w:tr>
      <w:tr>
        <w:trPr>
          <w:trHeight w:val="155"/>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w:t>
            </w:r>
          </w:p>
        </w:tc>
        <w:tc>
          <w:tcPr>
            <w:tcW w:w="27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February 15, 2023</w:t>
      </w:r>
    </w:p>
    <w:p>
      <w:pPr>
        <w:sectPr>
          <w:pgSz w:w="11900" w:h="16838" w:orient="portrait"/>
          <w:cols w:equalWidth="0" w:num="1">
            <w:col w:w="10159"/>
          </w:cols>
          <w:pgMar w:left="300" w:top="548" w:right="1440"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2"/>
          <w:szCs w:val="12"/>
          <w:b w:val="1"/>
          <w:bCs w:val="1"/>
          <w:color w:val="auto"/>
        </w:rPr>
        <w:t>TPG Reports Fourth Quarter and Full Year 2022 Financial Results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2"/>
          <w:szCs w:val="12"/>
          <w:i w:val="1"/>
          <w:iCs w:val="1"/>
          <w:color w:val="auto"/>
        </w:rPr>
        <w:t>Total assets under management of $135 billion as of December 31, 2022, an increase of 19% compared to $114 billion as of December 31, 2021</w:t>
      </w:r>
    </w:p>
    <w:p>
      <w:pPr>
        <w:spacing w:after="0" w:line="168" w:lineRule="exact"/>
        <w:rPr>
          <w:sz w:val="20"/>
          <w:szCs w:val="20"/>
          <w:color w:val="auto"/>
        </w:rPr>
      </w:pPr>
    </w:p>
    <w:p>
      <w:pPr>
        <w:jc w:val="center"/>
        <w:ind w:left="340"/>
        <w:spacing w:after="0" w:line="282" w:lineRule="auto"/>
        <w:rPr>
          <w:sz w:val="20"/>
          <w:szCs w:val="20"/>
          <w:color w:val="auto"/>
        </w:rPr>
      </w:pPr>
      <w:r>
        <w:rPr>
          <w:rFonts w:ascii="Arial" w:cs="Arial" w:eastAsia="Arial" w:hAnsi="Arial"/>
          <w:sz w:val="12"/>
          <w:szCs w:val="12"/>
          <w:i w:val="1"/>
          <w:iCs w:val="1"/>
          <w:color w:val="auto"/>
        </w:rPr>
        <w:t>GAAP net income attributable to TPG Inc. of $24 million and $92 million for the three months and year ended December 31, 2022, respectively, with basic net income per share to Class A common stock of $0.28 and $1.10 over the same periods, respectively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Fee-Related Earnings of $139 million and $454 million for the three months and year ended December 31, 2022, resulting in Fee-Related Earnings margins of 45% and 42% over the same periods, respectively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After-tax Distributable Earnings of $227 million (or $0.59 per share of Class A common stock) for the quarter ended December 31, 2022</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Announced dividend of $0.50 per share of Class A common stock for the quarter ended December 31, 2022</w:t>
      </w:r>
    </w:p>
    <w:p>
      <w:pPr>
        <w:spacing w:after="0" w:line="139" w:lineRule="exact"/>
        <w:rPr>
          <w:sz w:val="20"/>
          <w:szCs w:val="20"/>
          <w:color w:val="auto"/>
        </w:rPr>
      </w:pPr>
    </w:p>
    <w:p>
      <w:pPr>
        <w:ind w:right="140"/>
        <w:spacing w:after="0" w:line="334" w:lineRule="auto"/>
        <w:rPr>
          <w:sz w:val="20"/>
          <w:szCs w:val="20"/>
          <w:color w:val="auto"/>
        </w:rPr>
      </w:pPr>
      <w:r>
        <w:rPr>
          <w:rFonts w:ascii="Arial" w:cs="Arial" w:eastAsia="Arial" w:hAnsi="Arial"/>
          <w:sz w:val="11"/>
          <w:szCs w:val="11"/>
          <w:b w:val="1"/>
          <w:bCs w:val="1"/>
          <w:color w:val="auto"/>
        </w:rPr>
        <w:t xml:space="preserve">San Francisco and Fort Worth, TX – February 15, 2023 </w:t>
      </w:r>
      <w:r>
        <w:rPr>
          <w:rFonts w:ascii="Arial" w:cs="Arial" w:eastAsia="Arial" w:hAnsi="Arial"/>
          <w:sz w:val="11"/>
          <w:szCs w:val="11"/>
          <w:color w:val="auto"/>
        </w:rPr>
        <w:t>– TPG Inc. (NASDAQ: TPG), a leading global alternative asset management firm, reported its unaudited fourth quarter and full year 2022 results. TPG</w:t>
      </w:r>
      <w:r>
        <w:rPr>
          <w:rFonts w:ascii="Arial" w:cs="Arial" w:eastAsia="Arial" w:hAnsi="Arial"/>
          <w:sz w:val="11"/>
          <w:szCs w:val="11"/>
          <w:b w:val="1"/>
          <w:bCs w:val="1"/>
          <w:color w:val="auto"/>
        </w:rPr>
        <w:t xml:space="preserve"> </w:t>
      </w:r>
      <w:r>
        <w:rPr>
          <w:rFonts w:ascii="Arial" w:cs="Arial" w:eastAsia="Arial" w:hAnsi="Arial"/>
          <w:sz w:val="11"/>
          <w:szCs w:val="11"/>
          <w:color w:val="auto"/>
        </w:rPr>
        <w:t>issued a full detailed presentation of its fourth quarter and full year ended December 31, 2022 results, which can be viewed through the Investor Relations section of TPG’s website at shareholders.tpg.com.</w:t>
      </w:r>
    </w:p>
    <w:p>
      <w:pPr>
        <w:spacing w:after="0" w:line="98" w:lineRule="exact"/>
        <w:rPr>
          <w:sz w:val="20"/>
          <w:szCs w:val="20"/>
          <w:color w:val="auto"/>
        </w:rPr>
      </w:pPr>
    </w:p>
    <w:p>
      <w:pPr>
        <w:ind w:right="60"/>
        <w:spacing w:after="0" w:line="272" w:lineRule="auto"/>
        <w:rPr>
          <w:sz w:val="20"/>
          <w:szCs w:val="20"/>
          <w:color w:val="auto"/>
        </w:rPr>
      </w:pPr>
      <w:r>
        <w:rPr>
          <w:rFonts w:ascii="Arial" w:cs="Arial" w:eastAsia="Arial" w:hAnsi="Arial"/>
          <w:sz w:val="12"/>
          <w:szCs w:val="12"/>
          <w:color w:val="auto"/>
        </w:rPr>
        <w:t>“Since TPG’s IPO early last year, we’ve navigated markets with more disruption and volatility than we’ve seen in over a decade. Against this challenging backdrop, we surpassed what we set out to accomplish in our first year as a public company,” said Jon Winkelried, Chief Executive Officer. “We finished 2022 with total AUM of $135 billion, which increased nearly 20% year-over-year, driven by $30 billion of new capital raised across our platforms. We also delivered strong financial performance in 2022, with fee-related earnings of $454 million, which grew 39% from pro forma 2021. We believe our solid results through such a volatile year demonstrate the durability of our franchise, and ensure we remain well-positioned for long-term growth and diversification.”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TPG has declared a quarterly dividend of $0.50 per share of Class A common stock to holders of record at the close of business on February 27, 2023, payable on March 10, 2023.</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18" w:lineRule="exact"/>
        <w:rPr>
          <w:sz w:val="20"/>
          <w:szCs w:val="20"/>
          <w:color w:val="auto"/>
        </w:rPr>
      </w:pPr>
    </w:p>
    <w:p>
      <w:pPr>
        <w:ind w:right="160"/>
        <w:spacing w:after="0" w:line="257" w:lineRule="auto"/>
        <w:rPr>
          <w:sz w:val="20"/>
          <w:szCs w:val="20"/>
          <w:color w:val="auto"/>
        </w:rPr>
      </w:pPr>
      <w:r>
        <w:rPr>
          <w:rFonts w:ascii="Arial" w:cs="Arial" w:eastAsia="Arial" w:hAnsi="Arial"/>
          <w:sz w:val="12"/>
          <w:szCs w:val="12"/>
          <w:color w:val="auto"/>
        </w:rPr>
        <w:t>TPG will host a conference call and live webcast at 11:00 a.m. ET. It may be accessed by dialing (800) 225-9448 (US toll-free) or (203) 518-9708 (international), using the conference ID TPGQ422.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TPG</w:t>
      </w:r>
    </w:p>
    <w:p>
      <w:pPr>
        <w:spacing w:after="0" w:line="18" w:lineRule="exact"/>
        <w:rPr>
          <w:sz w:val="20"/>
          <w:szCs w:val="20"/>
          <w:color w:val="auto"/>
        </w:rPr>
      </w:pPr>
    </w:p>
    <w:p>
      <w:pPr>
        <w:jc w:val="both"/>
        <w:ind w:right="20"/>
        <w:spacing w:after="0" w:line="257" w:lineRule="auto"/>
        <w:rPr>
          <w:sz w:val="20"/>
          <w:szCs w:val="20"/>
          <w:color w:val="auto"/>
        </w:rPr>
      </w:pPr>
      <w:r>
        <w:rPr>
          <w:rFonts w:ascii="Arial" w:cs="Arial" w:eastAsia="Arial" w:hAnsi="Arial"/>
          <w:sz w:val="12"/>
          <w:szCs w:val="12"/>
          <w:color w:val="auto"/>
        </w:rPr>
        <w:t>TPG is a leading global alternative asset management firm, founded in San Francisco in 1992, with $135 billion of assets under management and investment and operational teams around the world. TPG invests across five multi-strategy platforms: Capital, Growth, Impact,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sectPr>
          <w:pgSz w:w="11900" w:h="16838" w:orient="portrait"/>
          <w:cols w:equalWidth="0" w:num="1">
            <w:col w:w="11200"/>
          </w:cols>
          <w:pgMar w:left="300" w:top="991" w:right="399" w:bottom="1440" w:gutter="0" w:footer="0" w:header="0"/>
        </w:sectPr>
      </w:pPr>
    </w:p>
    <w:bookmarkStart w:id="4" w:name="page5"/>
    <w:bookmarkEnd w:id="4"/>
    <w:p>
      <w:pPr>
        <w:spacing w:after="0"/>
        <w:rPr>
          <w:sz w:val="20"/>
          <w:szCs w:val="20"/>
          <w:color w:val="auto"/>
        </w:rPr>
      </w:pPr>
      <w:r>
        <w:rPr>
          <w:rFonts w:ascii="Arial" w:cs="Arial" w:eastAsia="Arial" w:hAnsi="Arial"/>
          <w:sz w:val="11"/>
          <w:szCs w:val="11"/>
          <w:b w:val="1"/>
          <w:bCs w:val="1"/>
          <w:color w:val="auto"/>
        </w:rPr>
        <w:t>Shareholder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Media contact:</w:t>
      </w:r>
    </w:p>
    <w:p>
      <w:pPr>
        <w:spacing w:after="0" w:line="63" w:lineRule="exact"/>
        <w:rPr>
          <w:sz w:val="20"/>
          <w:szCs w:val="20"/>
          <w:color w:val="auto"/>
        </w:rPr>
      </w:pPr>
    </w:p>
    <w:p>
      <w:pPr>
        <w:sectPr>
          <w:pgSz w:w="11900" w:h="16838" w:orient="portrait"/>
          <w:cols w:equalWidth="0" w:num="2">
            <w:col w:w="3060" w:space="720"/>
            <w:col w:w="7520"/>
          </w:cols>
          <w:pgMar w:left="300" w:top="1027" w:right="299" w:bottom="1440" w:gutter="0" w:footer="0" w:header="0"/>
        </w:sectPr>
      </w:pPr>
    </w:p>
    <w:p>
      <w:pPr>
        <w:spacing w:after="0"/>
        <w:rPr>
          <w:sz w:val="20"/>
          <w:szCs w:val="20"/>
          <w:color w:val="auto"/>
        </w:rPr>
      </w:pPr>
      <w:r>
        <w:rPr>
          <w:rFonts w:ascii="Arial" w:cs="Arial" w:eastAsia="Arial" w:hAnsi="Arial"/>
          <w:sz w:val="12"/>
          <w:szCs w:val="12"/>
          <w:color w:val="auto"/>
        </w:rPr>
        <w:t>Gary Stein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Luke Barrett</w:t>
      </w:r>
    </w:p>
    <w:p>
      <w:pPr>
        <w:spacing w:after="0" w:line="51" w:lineRule="exact"/>
        <w:rPr>
          <w:sz w:val="20"/>
          <w:szCs w:val="20"/>
          <w:color w:val="auto"/>
        </w:rPr>
      </w:pPr>
    </w:p>
    <w:p>
      <w:pPr>
        <w:sectPr>
          <w:pgSz w:w="11900" w:h="16838" w:orient="portrait"/>
          <w:cols w:equalWidth="0" w:num="2">
            <w:col w:w="3060" w:space="720"/>
            <w:col w:w="7520"/>
          </w:cols>
          <w:pgMar w:left="300" w:top="1027" w:right="299" w:bottom="1440" w:gutter="0" w:footer="0" w:header="0"/>
          <w:type w:val="continuous"/>
        </w:sectPr>
      </w:pPr>
    </w:p>
    <w:p>
      <w:pPr>
        <w:spacing w:after="0"/>
        <w:rPr>
          <w:sz w:val="20"/>
          <w:szCs w:val="20"/>
          <w:color w:val="auto"/>
        </w:rPr>
      </w:pPr>
      <w:r>
        <w:rPr>
          <w:rFonts w:ascii="Arial" w:cs="Arial" w:eastAsia="Arial" w:hAnsi="Arial"/>
          <w:sz w:val="12"/>
          <w:szCs w:val="12"/>
          <w:color w:val="auto"/>
        </w:rPr>
        <w:t>212-601-4750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415-743-1550</w:t>
      </w:r>
    </w:p>
    <w:p>
      <w:pPr>
        <w:spacing w:after="0" w:line="51" w:lineRule="exact"/>
        <w:rPr>
          <w:sz w:val="20"/>
          <w:szCs w:val="20"/>
          <w:color w:val="auto"/>
        </w:rPr>
      </w:pPr>
    </w:p>
    <w:p>
      <w:pPr>
        <w:sectPr>
          <w:pgSz w:w="11900" w:h="16838" w:orient="portrait"/>
          <w:cols w:equalWidth="0" w:num="2">
            <w:col w:w="3060" w:space="720"/>
            <w:col w:w="7520"/>
          </w:cols>
          <w:pgMar w:left="300" w:top="1027" w:right="299" w:bottom="1440" w:gutter="0" w:footer="0" w:header="0"/>
          <w:type w:val="continuous"/>
        </w:sectPr>
      </w:pPr>
    </w:p>
    <w:p>
      <w:pPr>
        <w:spacing w:after="0"/>
        <w:rPr>
          <w:sz w:val="20"/>
          <w:szCs w:val="20"/>
          <w:color w:val="auto"/>
        </w:rPr>
      </w:pPr>
      <w:r>
        <w:rPr>
          <w:rFonts w:ascii="Arial" w:cs="Arial" w:eastAsia="Arial" w:hAnsi="Arial"/>
          <w:sz w:val="11"/>
          <w:szCs w:val="11"/>
          <w:color w:val="auto"/>
        </w:rPr>
        <w:t>shareholders@tpg.com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media@tpg.com</w:t>
      </w:r>
    </w:p>
    <w:p>
      <w:pPr>
        <w:spacing w:after="0" w:line="200" w:lineRule="exact"/>
        <w:rPr>
          <w:sz w:val="20"/>
          <w:szCs w:val="20"/>
          <w:color w:val="auto"/>
        </w:rPr>
      </w:pPr>
    </w:p>
    <w:p>
      <w:pPr>
        <w:sectPr>
          <w:pgSz w:w="11900" w:h="16838" w:orient="portrait"/>
          <w:cols w:equalWidth="0" w:num="2">
            <w:col w:w="3060" w:space="720"/>
            <w:col w:w="7520"/>
          </w:cols>
          <w:pgMar w:left="300" w:top="1027" w:right="29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 Looking Statements</w:t>
      </w:r>
    </w:p>
    <w:p>
      <w:pPr>
        <w:spacing w:after="0" w:line="18"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This press release contains “forward-looking” statements based on the Company’s beliefs and assumptions and on information currently available to the Company.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estimated operational metrics, business strategy and plans and objectives of management for future operations, including, among other things, statements regarding the expected filing of our amended and restated certificate of incorporation, expected growth, future capital expenditures, fund performance, dividends and dividend policy, and debt service obligations.</w:t>
      </w:r>
    </w:p>
    <w:p>
      <w:pPr>
        <w:spacing w:after="0" w:line="140" w:lineRule="exact"/>
        <w:rPr>
          <w:sz w:val="20"/>
          <w:szCs w:val="20"/>
          <w:color w:val="auto"/>
        </w:rPr>
      </w:pPr>
    </w:p>
    <w:p>
      <w:pPr>
        <w:jc w:val="both"/>
        <w:ind w:right="160"/>
        <w:spacing w:after="0" w:line="262" w:lineRule="auto"/>
        <w:rPr>
          <w:sz w:val="20"/>
          <w:szCs w:val="20"/>
          <w:color w:val="auto"/>
        </w:rPr>
      </w:pPr>
      <w:r>
        <w:rPr>
          <w:rFonts w:ascii="Arial" w:cs="Arial" w:eastAsia="Arial" w:hAnsi="Arial"/>
          <w:sz w:val="12"/>
          <w:szCs w:val="12"/>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regional, national or global political, economic, business, competitive, market and regulatory conditions, among various other risks.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For the reasons described above, we caution you against relying on any forward-looking statements, which should be read in conjunction with the other cautionary statements and risk factors discussed from time to time in the Company’s filings with the SEC, which can be found at the SEC’s website at http://www.sec.gov. Any forward-looking statement in this press release speaks only as of the date of this press release. Factors or events that could cause our actual results to differ may emerge from time to time, and it is not possible for us to predict all of them. We undertake no obligation to update or revise any forward-looking statement after the date of this press release,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press release.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This press release does not constitute an offer of any TPG Fund.</w:t>
      </w:r>
    </w:p>
    <w:p>
      <w:pPr>
        <w:sectPr>
          <w:pgSz w:w="11900" w:h="16838" w:orient="portrait"/>
          <w:cols w:equalWidth="0" w:num="1">
            <w:col w:w="11300"/>
          </w:cols>
          <w:pgMar w:left="300" w:top="1027" w:right="299" w:bottom="1440" w:gutter="0" w:footer="0" w:header="0"/>
          <w:type w:val="continuous"/>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2023-02-15T07:08:23Z</dcterms:created>
  <dcterms:modified xsi:type="dcterms:W3CDTF">2023-02-15T07:08:23Z</dcterms:modified>
</cp:coreProperties>
</file>